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D6CC9" w14:textId="77777777" w:rsidR="00A16D3C" w:rsidRPr="00F71ADD" w:rsidRDefault="00A16D3C" w:rsidP="00A16D3C">
      <w:pPr>
        <w:rPr>
          <w:rStyle w:val="SubtleEmphasis"/>
        </w:rPr>
      </w:pPr>
      <w:r w:rsidRPr="00F71ADD">
        <w:rPr>
          <w:rStyle w:val="SubtleEmphasis"/>
        </w:rPr>
        <w:t>BHHC LOSS CONTROL – MONKEY POX (MPX) INFORMATION, RESOURCES, AND ADVISORY SUGGESTIONS</w:t>
      </w:r>
    </w:p>
    <w:p w14:paraId="37935B39" w14:textId="77777777" w:rsidR="00A16D3C" w:rsidRPr="0045412B" w:rsidRDefault="00A16D3C" w:rsidP="00A16D3C">
      <w:pPr>
        <w:rPr>
          <w:rFonts w:ascii="Segoe UI" w:hAnsi="Segoe UI" w:cs="Segoe UI"/>
        </w:rPr>
      </w:pPr>
      <w:r w:rsidRPr="0045412B">
        <w:rPr>
          <w:rFonts w:ascii="Segoe UI" w:hAnsi="Segoe UI" w:cs="Segoe UI"/>
        </w:rPr>
        <w:t>Monkey Pox is a viral infection that is part of the zoonotic virus family. The virus was initially identified in 1958</w:t>
      </w:r>
      <w:r>
        <w:rPr>
          <w:rFonts w:ascii="Segoe UI" w:hAnsi="Segoe UI" w:cs="Segoe UI"/>
        </w:rPr>
        <w:t>; thus,</w:t>
      </w:r>
      <w:r w:rsidRPr="0045412B">
        <w:rPr>
          <w:rFonts w:ascii="Segoe UI" w:hAnsi="Segoe UI" w:cs="Segoe UI"/>
        </w:rPr>
        <w:t xml:space="preserve"> there is</w:t>
      </w:r>
      <w:r>
        <w:rPr>
          <w:rFonts w:ascii="Segoe UI" w:hAnsi="Segoe UI" w:cs="Segoe UI"/>
        </w:rPr>
        <w:t xml:space="preserve"> </w:t>
      </w:r>
      <w:r w:rsidRPr="0045412B">
        <w:rPr>
          <w:rFonts w:ascii="Segoe UI" w:hAnsi="Segoe UI" w:cs="Segoe UI"/>
        </w:rPr>
        <w:t xml:space="preserve">significant history associated with the virus. Additionally, while there is </w:t>
      </w:r>
      <w:r>
        <w:rPr>
          <w:rFonts w:ascii="Segoe UI" w:hAnsi="Segoe UI" w:cs="Segoe UI"/>
        </w:rPr>
        <w:t>a readily available vaccine</w:t>
      </w:r>
      <w:r w:rsidRPr="0045412B">
        <w:rPr>
          <w:rFonts w:ascii="Segoe UI" w:hAnsi="Segoe UI" w:cs="Segoe UI"/>
        </w:rPr>
        <w:t xml:space="preserve"> but at this time, only specific populations that meet certain established guidelines are being provided access to the vaccine</w:t>
      </w:r>
      <w:r>
        <w:rPr>
          <w:rFonts w:ascii="Segoe UI" w:hAnsi="Segoe UI" w:cs="Segoe UI"/>
        </w:rPr>
        <w:t>.</w:t>
      </w:r>
    </w:p>
    <w:p w14:paraId="2B1F6B61" w14:textId="77777777" w:rsidR="00A16D3C" w:rsidRPr="0045412B" w:rsidRDefault="00A16D3C" w:rsidP="00A16D3C">
      <w:pPr>
        <w:rPr>
          <w:rFonts w:ascii="Segoe UI" w:hAnsi="Segoe UI" w:cs="Segoe UI"/>
        </w:rPr>
      </w:pPr>
      <w:r w:rsidRPr="0045412B">
        <w:rPr>
          <w:rFonts w:ascii="Segoe UI" w:hAnsi="Segoe UI" w:cs="Segoe UI"/>
        </w:rPr>
        <w:t>The current situation in the United States regarding monkey pox involves identified outbreaks</w:t>
      </w:r>
      <w:r>
        <w:rPr>
          <w:rFonts w:ascii="Segoe UI" w:hAnsi="Segoe UI" w:cs="Segoe UI"/>
        </w:rPr>
        <w:t xml:space="preserve"> </w:t>
      </w:r>
      <w:r w:rsidRPr="0045412B">
        <w:rPr>
          <w:rFonts w:ascii="Segoe UI" w:hAnsi="Segoe UI" w:cs="Segoe UI"/>
        </w:rPr>
        <w:t xml:space="preserve">according to the CDC </w:t>
      </w:r>
      <w:r>
        <w:rPr>
          <w:rFonts w:ascii="Segoe UI" w:hAnsi="Segoe UI" w:cs="Segoe UI"/>
        </w:rPr>
        <w:t>and</w:t>
      </w:r>
      <w:r w:rsidRPr="0045412B">
        <w:rPr>
          <w:rFonts w:ascii="Segoe UI" w:hAnsi="Segoe UI" w:cs="Segoe UI"/>
        </w:rPr>
        <w:t xml:space="preserve"> other local (state and county) jurisdictions. As of the date of this resource, there are approximately 17,000 cases in the United States</w:t>
      </w:r>
      <w:r>
        <w:rPr>
          <w:rFonts w:ascii="Segoe UI" w:hAnsi="Segoe UI" w:cs="Segoe UI"/>
        </w:rPr>
        <w:t>,</w:t>
      </w:r>
      <w:r w:rsidRPr="0045412B">
        <w:rPr>
          <w:rFonts w:ascii="Segoe UI" w:hAnsi="Segoe UI" w:cs="Segoe UI"/>
        </w:rPr>
        <w:t xml:space="preserve"> with sporadic concentrations of cases in several states. These states include and have the highest case counts </w:t>
      </w:r>
      <w:proofErr w:type="gramStart"/>
      <w:r w:rsidRPr="0045412B">
        <w:rPr>
          <w:rFonts w:ascii="Segoe UI" w:hAnsi="Segoe UI" w:cs="Segoe UI"/>
        </w:rPr>
        <w:t>at this time</w:t>
      </w:r>
      <w:proofErr w:type="gramEnd"/>
      <w:r w:rsidRPr="0045412B">
        <w:rPr>
          <w:rFonts w:ascii="Segoe UI" w:hAnsi="Segoe UI" w:cs="Segoe UI"/>
        </w:rPr>
        <w:t>:</w:t>
      </w:r>
    </w:p>
    <w:p w14:paraId="6F6741A0" w14:textId="77777777" w:rsidR="00A16D3C" w:rsidRPr="0045412B" w:rsidRDefault="00A16D3C" w:rsidP="00A16D3C">
      <w:pPr>
        <w:spacing w:after="0" w:line="240" w:lineRule="auto"/>
        <w:rPr>
          <w:rFonts w:ascii="Segoe UI" w:hAnsi="Segoe UI" w:cs="Segoe UI"/>
        </w:rPr>
        <w:sectPr w:rsidR="00A16D3C" w:rsidRPr="0045412B">
          <w:headerReference w:type="default" r:id="rId11"/>
          <w:pgSz w:w="12240" w:h="15840"/>
          <w:pgMar w:top="1440" w:right="1440" w:bottom="1440" w:left="1440" w:header="720" w:footer="720" w:gutter="0"/>
          <w:cols w:space="720"/>
          <w:docGrid w:linePitch="360"/>
        </w:sectPr>
      </w:pPr>
    </w:p>
    <w:p w14:paraId="674D8BB6" w14:textId="77777777" w:rsidR="00A16D3C" w:rsidRPr="0045412B" w:rsidRDefault="00A16D3C" w:rsidP="00A16D3C">
      <w:pPr>
        <w:spacing w:after="0" w:line="240" w:lineRule="auto"/>
        <w:rPr>
          <w:rFonts w:ascii="Segoe UI" w:hAnsi="Segoe UI" w:cs="Segoe UI"/>
        </w:rPr>
      </w:pPr>
      <w:r w:rsidRPr="0045412B">
        <w:rPr>
          <w:rFonts w:ascii="Segoe UI" w:hAnsi="Segoe UI" w:cs="Segoe UI"/>
        </w:rPr>
        <w:t>California</w:t>
      </w:r>
    </w:p>
    <w:p w14:paraId="24F5B73C" w14:textId="77777777" w:rsidR="00A16D3C" w:rsidRPr="0045412B" w:rsidRDefault="00A16D3C" w:rsidP="00A16D3C">
      <w:pPr>
        <w:spacing w:after="0" w:line="240" w:lineRule="auto"/>
        <w:rPr>
          <w:rFonts w:ascii="Segoe UI" w:hAnsi="Segoe UI" w:cs="Segoe UI"/>
        </w:rPr>
      </w:pPr>
      <w:r w:rsidRPr="0045412B">
        <w:rPr>
          <w:rFonts w:ascii="Segoe UI" w:hAnsi="Segoe UI" w:cs="Segoe UI"/>
        </w:rPr>
        <w:t>New York</w:t>
      </w:r>
    </w:p>
    <w:p w14:paraId="018344C7" w14:textId="77777777" w:rsidR="00A16D3C" w:rsidRPr="0045412B" w:rsidRDefault="00A16D3C" w:rsidP="00A16D3C">
      <w:pPr>
        <w:spacing w:after="0" w:line="240" w:lineRule="auto"/>
        <w:rPr>
          <w:rFonts w:ascii="Segoe UI" w:hAnsi="Segoe UI" w:cs="Segoe UI"/>
        </w:rPr>
      </w:pPr>
      <w:r w:rsidRPr="0045412B">
        <w:rPr>
          <w:rFonts w:ascii="Segoe UI" w:hAnsi="Segoe UI" w:cs="Segoe UI"/>
        </w:rPr>
        <w:t>Texas</w:t>
      </w:r>
    </w:p>
    <w:p w14:paraId="23F240D0" w14:textId="77777777" w:rsidR="00A16D3C" w:rsidRPr="0045412B" w:rsidRDefault="00A16D3C" w:rsidP="00A16D3C">
      <w:pPr>
        <w:spacing w:after="0" w:line="240" w:lineRule="auto"/>
        <w:rPr>
          <w:rFonts w:ascii="Segoe UI" w:hAnsi="Segoe UI" w:cs="Segoe UI"/>
        </w:rPr>
      </w:pPr>
      <w:r w:rsidRPr="0045412B">
        <w:rPr>
          <w:rFonts w:ascii="Segoe UI" w:hAnsi="Segoe UI" w:cs="Segoe UI"/>
        </w:rPr>
        <w:t>Florida</w:t>
      </w:r>
    </w:p>
    <w:p w14:paraId="1FAD4016" w14:textId="77777777" w:rsidR="00A16D3C" w:rsidRPr="0045412B" w:rsidRDefault="00A16D3C" w:rsidP="00A16D3C">
      <w:pPr>
        <w:spacing w:after="0" w:line="240" w:lineRule="auto"/>
        <w:rPr>
          <w:rFonts w:ascii="Segoe UI" w:hAnsi="Segoe UI" w:cs="Segoe UI"/>
        </w:rPr>
      </w:pPr>
      <w:r w:rsidRPr="0045412B">
        <w:rPr>
          <w:rFonts w:ascii="Segoe UI" w:hAnsi="Segoe UI" w:cs="Segoe UI"/>
        </w:rPr>
        <w:t>Illinois</w:t>
      </w:r>
    </w:p>
    <w:p w14:paraId="548046C6" w14:textId="77777777" w:rsidR="00A16D3C" w:rsidRPr="0045412B" w:rsidRDefault="00A16D3C" w:rsidP="00A16D3C">
      <w:pPr>
        <w:spacing w:after="0" w:line="240" w:lineRule="auto"/>
        <w:rPr>
          <w:rFonts w:ascii="Segoe UI" w:hAnsi="Segoe UI" w:cs="Segoe UI"/>
        </w:rPr>
      </w:pPr>
      <w:r w:rsidRPr="0045412B">
        <w:rPr>
          <w:rFonts w:ascii="Segoe UI" w:hAnsi="Segoe UI" w:cs="Segoe UI"/>
        </w:rPr>
        <w:t>Georgia</w:t>
      </w:r>
    </w:p>
    <w:p w14:paraId="5827F3A8" w14:textId="77777777" w:rsidR="00A16D3C" w:rsidRPr="0045412B" w:rsidRDefault="00A16D3C" w:rsidP="00A16D3C">
      <w:pPr>
        <w:spacing w:after="0" w:line="240" w:lineRule="auto"/>
        <w:rPr>
          <w:rFonts w:ascii="Segoe UI" w:hAnsi="Segoe UI" w:cs="Segoe UI"/>
        </w:rPr>
        <w:sectPr w:rsidR="00A16D3C" w:rsidRPr="0045412B" w:rsidSect="005C7B34">
          <w:type w:val="continuous"/>
          <w:pgSz w:w="12240" w:h="15840"/>
          <w:pgMar w:top="1440" w:right="1440" w:bottom="1440" w:left="1440" w:header="720" w:footer="720" w:gutter="0"/>
          <w:cols w:num="2" w:space="720"/>
          <w:docGrid w:linePitch="360"/>
        </w:sectPr>
      </w:pPr>
    </w:p>
    <w:p w14:paraId="0FBB4E66" w14:textId="77777777" w:rsidR="00A16D3C" w:rsidRPr="0045412B" w:rsidRDefault="00A16D3C" w:rsidP="00A16D3C">
      <w:pPr>
        <w:spacing w:after="0" w:line="240" w:lineRule="auto"/>
        <w:rPr>
          <w:rFonts w:ascii="Segoe UI" w:hAnsi="Segoe UI" w:cs="Segoe UI"/>
        </w:rPr>
      </w:pPr>
    </w:p>
    <w:p w14:paraId="1FBB54C8" w14:textId="77777777" w:rsidR="00A16D3C" w:rsidRPr="0045412B" w:rsidRDefault="00A16D3C" w:rsidP="00A16D3C">
      <w:pPr>
        <w:spacing w:after="0" w:line="240" w:lineRule="auto"/>
        <w:rPr>
          <w:rFonts w:ascii="Segoe UI" w:hAnsi="Segoe UI" w:cs="Segoe UI"/>
        </w:rPr>
      </w:pPr>
      <w:r w:rsidRPr="0045412B">
        <w:rPr>
          <w:rFonts w:ascii="Segoe UI" w:hAnsi="Segoe UI" w:cs="Segoe UI"/>
        </w:rPr>
        <w:t>While these states have the highest case counts, the virus has been identified in all fifty (50) states.</w:t>
      </w:r>
    </w:p>
    <w:p w14:paraId="70B03932" w14:textId="77777777" w:rsidR="00A16D3C" w:rsidRPr="0045412B" w:rsidRDefault="00A16D3C" w:rsidP="00A16D3C">
      <w:pPr>
        <w:spacing w:after="0" w:line="240" w:lineRule="auto"/>
        <w:rPr>
          <w:rFonts w:ascii="Segoe UI" w:hAnsi="Segoe UI" w:cs="Segoe UI"/>
        </w:rPr>
      </w:pPr>
    </w:p>
    <w:p w14:paraId="338F2A60" w14:textId="77777777" w:rsidR="00A16D3C" w:rsidRPr="0045412B" w:rsidRDefault="00A16D3C" w:rsidP="00F71ADD">
      <w:pPr>
        <w:pStyle w:val="Heading2"/>
      </w:pPr>
      <w:r w:rsidRPr="0045412B">
        <w:t>Monkey Pox Symptoms</w:t>
      </w:r>
    </w:p>
    <w:p w14:paraId="16597E6B" w14:textId="77777777" w:rsidR="00A16D3C" w:rsidRPr="0045412B" w:rsidRDefault="00A16D3C" w:rsidP="00A16D3C">
      <w:pPr>
        <w:spacing w:line="240" w:lineRule="auto"/>
        <w:rPr>
          <w:rFonts w:ascii="Segoe UI" w:hAnsi="Segoe UI" w:cs="Segoe UI"/>
        </w:rPr>
      </w:pPr>
      <w:r>
        <w:rPr>
          <w:rFonts w:ascii="Segoe UI" w:hAnsi="Segoe UI" w:cs="Segoe UI"/>
        </w:rPr>
        <w:br/>
      </w:r>
      <w:r w:rsidRPr="0045412B">
        <w:rPr>
          <w:rFonts w:ascii="Segoe UI" w:hAnsi="Segoe UI" w:cs="Segoe UI"/>
        </w:rPr>
        <w:t>People with monkeypox get a rash that may be located on or near the genitals (penis, testicles, labia, and vagina) or anus (butthole) and could be on other areas like the hands, feet, chest, face, or mouth.</w:t>
      </w:r>
    </w:p>
    <w:p w14:paraId="025384AC" w14:textId="77777777" w:rsidR="00A16D3C" w:rsidRPr="0045412B" w:rsidRDefault="00A16D3C" w:rsidP="00A16D3C">
      <w:pPr>
        <w:spacing w:line="240" w:lineRule="auto"/>
        <w:rPr>
          <w:rFonts w:ascii="Segoe UI" w:hAnsi="Segoe UI" w:cs="Segoe UI"/>
        </w:rPr>
        <w:sectPr w:rsidR="00A16D3C" w:rsidRPr="0045412B" w:rsidSect="005C7B34">
          <w:type w:val="continuous"/>
          <w:pgSz w:w="12240" w:h="15840"/>
          <w:pgMar w:top="1440" w:right="1440" w:bottom="1440" w:left="1440" w:header="720" w:footer="720" w:gutter="0"/>
          <w:cols w:space="720"/>
          <w:docGrid w:linePitch="360"/>
        </w:sectPr>
      </w:pPr>
    </w:p>
    <w:p w14:paraId="59157DFE" w14:textId="77777777" w:rsidR="00A16D3C" w:rsidRPr="00F71ADD" w:rsidRDefault="00A16D3C" w:rsidP="00F71ADD">
      <w:pPr>
        <w:pStyle w:val="ListParagraph"/>
        <w:numPr>
          <w:ilvl w:val="0"/>
          <w:numId w:val="8"/>
        </w:numPr>
        <w:spacing w:after="0" w:line="240" w:lineRule="auto"/>
        <w:rPr>
          <w:rFonts w:ascii="Segoe UI" w:hAnsi="Segoe UI" w:cs="Segoe UI"/>
        </w:rPr>
      </w:pPr>
      <w:r w:rsidRPr="00F71ADD">
        <w:rPr>
          <w:rFonts w:ascii="Segoe UI" w:hAnsi="Segoe UI" w:cs="Segoe UI"/>
        </w:rPr>
        <w:t>Fever</w:t>
      </w:r>
    </w:p>
    <w:p w14:paraId="288F6C5E" w14:textId="77777777" w:rsidR="00A16D3C" w:rsidRPr="00F71ADD" w:rsidRDefault="00A16D3C" w:rsidP="00F71ADD">
      <w:pPr>
        <w:pStyle w:val="ListParagraph"/>
        <w:numPr>
          <w:ilvl w:val="0"/>
          <w:numId w:val="8"/>
        </w:numPr>
        <w:spacing w:after="0" w:line="240" w:lineRule="auto"/>
        <w:rPr>
          <w:rFonts w:ascii="Segoe UI" w:hAnsi="Segoe UI" w:cs="Segoe UI"/>
        </w:rPr>
      </w:pPr>
      <w:r w:rsidRPr="00F71ADD">
        <w:rPr>
          <w:rFonts w:ascii="Segoe UI" w:hAnsi="Segoe UI" w:cs="Segoe UI"/>
        </w:rPr>
        <w:t>Chills</w:t>
      </w:r>
    </w:p>
    <w:p w14:paraId="213D1CA1" w14:textId="77777777" w:rsidR="00A16D3C" w:rsidRPr="00F71ADD" w:rsidRDefault="00A16D3C" w:rsidP="00F71ADD">
      <w:pPr>
        <w:pStyle w:val="ListParagraph"/>
        <w:numPr>
          <w:ilvl w:val="0"/>
          <w:numId w:val="8"/>
        </w:numPr>
        <w:spacing w:after="0" w:line="240" w:lineRule="auto"/>
        <w:rPr>
          <w:rFonts w:ascii="Segoe UI" w:hAnsi="Segoe UI" w:cs="Segoe UI"/>
        </w:rPr>
      </w:pPr>
      <w:r w:rsidRPr="00F71ADD">
        <w:rPr>
          <w:rFonts w:ascii="Segoe UI" w:hAnsi="Segoe UI" w:cs="Segoe UI"/>
        </w:rPr>
        <w:t>Swollen lymph nodes</w:t>
      </w:r>
    </w:p>
    <w:p w14:paraId="40801518" w14:textId="77777777" w:rsidR="00A16D3C" w:rsidRPr="00F71ADD" w:rsidRDefault="00A16D3C" w:rsidP="00F71ADD">
      <w:pPr>
        <w:pStyle w:val="ListParagraph"/>
        <w:numPr>
          <w:ilvl w:val="0"/>
          <w:numId w:val="8"/>
        </w:numPr>
        <w:spacing w:line="240" w:lineRule="auto"/>
        <w:rPr>
          <w:rFonts w:ascii="Segoe UI" w:hAnsi="Segoe UI" w:cs="Segoe UI"/>
        </w:rPr>
      </w:pPr>
      <w:r w:rsidRPr="00F71ADD">
        <w:rPr>
          <w:rFonts w:ascii="Segoe UI" w:hAnsi="Segoe UI" w:cs="Segoe UI"/>
        </w:rPr>
        <w:t>Exhaustion</w:t>
      </w:r>
    </w:p>
    <w:p w14:paraId="0CB613F0" w14:textId="77777777" w:rsidR="00A16D3C" w:rsidRPr="00F71ADD" w:rsidRDefault="00A16D3C" w:rsidP="00F71ADD">
      <w:pPr>
        <w:pStyle w:val="ListParagraph"/>
        <w:numPr>
          <w:ilvl w:val="0"/>
          <w:numId w:val="8"/>
        </w:numPr>
        <w:spacing w:after="0" w:line="240" w:lineRule="auto"/>
        <w:rPr>
          <w:rFonts w:ascii="Segoe UI" w:hAnsi="Segoe UI" w:cs="Segoe UI"/>
        </w:rPr>
      </w:pPr>
      <w:r w:rsidRPr="00F71ADD">
        <w:rPr>
          <w:rFonts w:ascii="Segoe UI" w:hAnsi="Segoe UI" w:cs="Segoe UI"/>
        </w:rPr>
        <w:t>Muscle aches and backache</w:t>
      </w:r>
    </w:p>
    <w:p w14:paraId="402785FA" w14:textId="77777777" w:rsidR="00A16D3C" w:rsidRPr="00F71ADD" w:rsidRDefault="00A16D3C" w:rsidP="00F71ADD">
      <w:pPr>
        <w:pStyle w:val="ListParagraph"/>
        <w:numPr>
          <w:ilvl w:val="0"/>
          <w:numId w:val="8"/>
        </w:numPr>
        <w:spacing w:after="0" w:line="240" w:lineRule="auto"/>
        <w:rPr>
          <w:rFonts w:ascii="Segoe UI" w:hAnsi="Segoe UI" w:cs="Segoe UI"/>
        </w:rPr>
      </w:pPr>
      <w:r w:rsidRPr="00F71ADD">
        <w:rPr>
          <w:rFonts w:ascii="Segoe UI" w:hAnsi="Segoe UI" w:cs="Segoe UI"/>
        </w:rPr>
        <w:t>Headache</w:t>
      </w:r>
    </w:p>
    <w:p w14:paraId="474B8C9B" w14:textId="77777777" w:rsidR="00A16D3C" w:rsidRPr="00F71ADD" w:rsidRDefault="00A16D3C" w:rsidP="00F71ADD">
      <w:pPr>
        <w:pStyle w:val="ListParagraph"/>
        <w:numPr>
          <w:ilvl w:val="0"/>
          <w:numId w:val="8"/>
        </w:numPr>
        <w:spacing w:line="240" w:lineRule="auto"/>
        <w:rPr>
          <w:rFonts w:ascii="Segoe UI" w:hAnsi="Segoe UI" w:cs="Segoe UI"/>
        </w:rPr>
      </w:pPr>
      <w:r w:rsidRPr="00F71ADD">
        <w:rPr>
          <w:rFonts w:ascii="Segoe UI" w:hAnsi="Segoe UI" w:cs="Segoe UI"/>
        </w:rPr>
        <w:t>Respiratory symptoms (sore throat, nasal congestion, cough, etc.)</w:t>
      </w:r>
    </w:p>
    <w:p w14:paraId="385DE668" w14:textId="77777777" w:rsidR="00A16D3C" w:rsidRPr="0045412B" w:rsidRDefault="00A16D3C" w:rsidP="00A16D3C">
      <w:pPr>
        <w:spacing w:line="240" w:lineRule="auto"/>
        <w:rPr>
          <w:rFonts w:ascii="Segoe UI" w:hAnsi="Segoe UI" w:cs="Segoe UI"/>
        </w:rPr>
        <w:sectPr w:rsidR="00A16D3C" w:rsidRPr="0045412B" w:rsidSect="005C7B34">
          <w:type w:val="continuous"/>
          <w:pgSz w:w="12240" w:h="15840"/>
          <w:pgMar w:top="1440" w:right="1440" w:bottom="1440" w:left="1440" w:header="720" w:footer="720" w:gutter="0"/>
          <w:cols w:num="3" w:space="720"/>
          <w:docGrid w:linePitch="360"/>
        </w:sectPr>
      </w:pPr>
    </w:p>
    <w:p w14:paraId="055D044B" w14:textId="77777777" w:rsidR="00A16D3C" w:rsidRPr="0045412B" w:rsidRDefault="00A16D3C" w:rsidP="00A16D3C">
      <w:pPr>
        <w:spacing w:line="240" w:lineRule="auto"/>
        <w:rPr>
          <w:rFonts w:ascii="Segoe UI" w:hAnsi="Segoe UI" w:cs="Segoe UI"/>
        </w:rPr>
      </w:pPr>
      <w:r w:rsidRPr="0045412B">
        <w:rPr>
          <w:rFonts w:ascii="Segoe UI" w:hAnsi="Segoe UI" w:cs="Segoe UI"/>
        </w:rPr>
        <w:lastRenderedPageBreak/>
        <w:t>Infected persons typically can experience some</w:t>
      </w:r>
      <w:r>
        <w:rPr>
          <w:rFonts w:ascii="Segoe UI" w:hAnsi="Segoe UI" w:cs="Segoe UI"/>
        </w:rPr>
        <w:t>,</w:t>
      </w:r>
      <w:r w:rsidRPr="0045412B">
        <w:rPr>
          <w:rFonts w:ascii="Segoe UI" w:hAnsi="Segoe UI" w:cs="Segoe UI"/>
        </w:rPr>
        <w:t xml:space="preserve"> if not all</w:t>
      </w:r>
      <w:r>
        <w:rPr>
          <w:rFonts w:ascii="Segoe UI" w:hAnsi="Segoe UI" w:cs="Segoe UI"/>
        </w:rPr>
        <w:t>,</w:t>
      </w:r>
      <w:r w:rsidRPr="0045412B">
        <w:rPr>
          <w:rFonts w:ascii="Segoe UI" w:hAnsi="Segoe UI" w:cs="Segoe UI"/>
        </w:rPr>
        <w:t xml:space="preserve"> of these symptoms.</w:t>
      </w:r>
    </w:p>
    <w:p w14:paraId="5C7A62EC" w14:textId="77777777" w:rsidR="00A16D3C" w:rsidRPr="0045412B" w:rsidRDefault="00A16D3C" w:rsidP="00A16D3C">
      <w:pPr>
        <w:rPr>
          <w:rFonts w:ascii="Segoe UI" w:hAnsi="Segoe UI" w:cs="Segoe UI"/>
        </w:rPr>
      </w:pPr>
      <w:r w:rsidRPr="0045412B">
        <w:rPr>
          <w:rFonts w:ascii="Segoe UI" w:hAnsi="Segoe UI" w:cs="Segoe UI"/>
        </w:rPr>
        <w:t>Additional information regarding Monkey Pox signs and symptoms can be found at the Centers for Disease Control (CDC) website by using the link below:</w:t>
      </w:r>
    </w:p>
    <w:p w14:paraId="5E31E1FB" w14:textId="77777777" w:rsidR="00A16D3C" w:rsidRPr="0045412B" w:rsidRDefault="00A16D3C" w:rsidP="00A16D3C">
      <w:pPr>
        <w:rPr>
          <w:rFonts w:ascii="Segoe UI" w:hAnsi="Segoe UI" w:cs="Segoe UI"/>
        </w:rPr>
      </w:pPr>
      <w:hyperlink r:id="rId12" w:history="1">
        <w:r w:rsidRPr="0045412B">
          <w:rPr>
            <w:rStyle w:val="Hyperlink"/>
            <w:rFonts w:ascii="Segoe UI" w:hAnsi="Segoe UI" w:cs="Segoe UI"/>
          </w:rPr>
          <w:t>https://www.cdc.gov/poxvirus/monkeypox/index.html</w:t>
        </w:r>
      </w:hyperlink>
    </w:p>
    <w:p w14:paraId="3AB749C1" w14:textId="77777777" w:rsidR="00A16D3C" w:rsidRPr="0045412B" w:rsidRDefault="00A16D3C" w:rsidP="00F71ADD">
      <w:pPr>
        <w:pStyle w:val="Heading2"/>
      </w:pPr>
      <w:r w:rsidRPr="0045412B">
        <w:t>California Specific Information</w:t>
      </w:r>
    </w:p>
    <w:p w14:paraId="24953659" w14:textId="77777777" w:rsidR="00A16D3C" w:rsidRPr="0045412B" w:rsidRDefault="00A16D3C" w:rsidP="00A16D3C">
      <w:pPr>
        <w:rPr>
          <w:rFonts w:ascii="Segoe UI" w:hAnsi="Segoe UI" w:cs="Segoe UI"/>
        </w:rPr>
      </w:pPr>
      <w:r w:rsidRPr="0045412B">
        <w:rPr>
          <w:rFonts w:ascii="Segoe UI" w:hAnsi="Segoe UI" w:cs="Segoe UI"/>
        </w:rPr>
        <w:t>While most local health departments in California have seen a flattening of the rise in Monkey Pox (MPX) cases in the last several weeks, the California Occupational Safety and Health Administration (CAL-OSHA) recently enacted specific guidelines regarding employer responsibilities for providing a safe workplace regarding exposure to the Monkey Pox virus.</w:t>
      </w:r>
    </w:p>
    <w:p w14:paraId="0B52C7E1" w14:textId="77777777" w:rsidR="00A16D3C" w:rsidRPr="0045412B" w:rsidRDefault="00A16D3C" w:rsidP="00A16D3C">
      <w:pPr>
        <w:rPr>
          <w:rFonts w:ascii="Segoe UI" w:hAnsi="Segoe UI" w:cs="Segoe UI"/>
        </w:rPr>
      </w:pPr>
      <w:r w:rsidRPr="0045412B">
        <w:rPr>
          <w:rFonts w:ascii="Segoe UI" w:hAnsi="Segoe UI" w:cs="Segoe UI"/>
        </w:rPr>
        <w:t>These guidelines are found at the following link:</w:t>
      </w:r>
    </w:p>
    <w:p w14:paraId="01CACA86" w14:textId="77777777" w:rsidR="00A16D3C" w:rsidRPr="0045412B" w:rsidRDefault="00A16D3C" w:rsidP="00A16D3C">
      <w:pPr>
        <w:rPr>
          <w:rFonts w:ascii="Segoe UI" w:hAnsi="Segoe UI" w:cs="Segoe UI"/>
        </w:rPr>
      </w:pPr>
      <w:hyperlink r:id="rId13" w:history="1">
        <w:r w:rsidRPr="0045412B">
          <w:rPr>
            <w:rStyle w:val="Hyperlink"/>
            <w:rFonts w:ascii="Segoe UI" w:hAnsi="Segoe UI" w:cs="Segoe UI"/>
          </w:rPr>
          <w:t>Cal/OSHA Guidance on Monkeypox Virus for Employers Covered by Section 5199</w:t>
        </w:r>
      </w:hyperlink>
    </w:p>
    <w:p w14:paraId="5BC82A9B" w14:textId="77777777" w:rsidR="00A16D3C" w:rsidRPr="0045412B" w:rsidRDefault="00A16D3C" w:rsidP="00A16D3C">
      <w:pPr>
        <w:rPr>
          <w:rFonts w:ascii="Segoe UI" w:hAnsi="Segoe UI" w:cs="Segoe UI"/>
        </w:rPr>
      </w:pPr>
      <w:r w:rsidRPr="0045412B">
        <w:rPr>
          <w:rFonts w:ascii="Segoe UI" w:hAnsi="Segoe UI" w:cs="Segoe UI"/>
        </w:rPr>
        <w:t>Monkey Pox is covered under the Aerosol Transmissible Disease (ATD) standard in 8CCR5199.</w:t>
      </w:r>
    </w:p>
    <w:p w14:paraId="2917516E" w14:textId="77777777" w:rsidR="00A16D3C" w:rsidRPr="0045412B" w:rsidRDefault="00A16D3C" w:rsidP="00A16D3C">
      <w:pPr>
        <w:rPr>
          <w:rFonts w:ascii="Segoe UI" w:hAnsi="Segoe UI" w:cs="Segoe UI"/>
        </w:rPr>
      </w:pPr>
      <w:r w:rsidRPr="0045412B">
        <w:rPr>
          <w:rFonts w:ascii="Segoe UI" w:hAnsi="Segoe UI" w:cs="Segoe UI"/>
        </w:rPr>
        <w:t>Basic requirements under this standard focus on the following:</w:t>
      </w:r>
    </w:p>
    <w:p w14:paraId="7E9BC0A0" w14:textId="77777777" w:rsidR="00A16D3C" w:rsidRPr="0045412B" w:rsidRDefault="00A16D3C" w:rsidP="00F71ADD">
      <w:pPr>
        <w:pStyle w:val="Heading2"/>
      </w:pPr>
      <w:r w:rsidRPr="0045412B">
        <w:t>Monkey Pox Transmission (MPX):</w:t>
      </w:r>
    </w:p>
    <w:p w14:paraId="3839A7E5" w14:textId="77777777" w:rsidR="00A16D3C" w:rsidRPr="0045412B" w:rsidRDefault="00A16D3C" w:rsidP="00A16D3C">
      <w:pPr>
        <w:rPr>
          <w:rFonts w:ascii="Segoe UI" w:hAnsi="Segoe UI" w:cs="Segoe UI"/>
        </w:rPr>
      </w:pPr>
      <w:r w:rsidRPr="0045412B">
        <w:rPr>
          <w:rFonts w:ascii="Segoe UI" w:hAnsi="Segoe UI" w:cs="Segoe UI"/>
        </w:rPr>
        <w:t>MPX spreads primarily by close or direct contact with infectious rashes, lesions, scabs, or body fluids. It can also spread through touching materials used by a person with MPX that haven’t been cleaned, such as clothing, towels, and bedding. The virus can become airborne during changing or handling of contaminated linen.</w:t>
      </w:r>
    </w:p>
    <w:p w14:paraId="16EADA14" w14:textId="77777777" w:rsidR="00A16D3C" w:rsidRPr="0045412B" w:rsidRDefault="00A16D3C" w:rsidP="00A16D3C">
      <w:pPr>
        <w:rPr>
          <w:rFonts w:ascii="Segoe UI" w:hAnsi="Segoe UI" w:cs="Segoe UI"/>
        </w:rPr>
      </w:pPr>
      <w:r w:rsidRPr="0045412B">
        <w:rPr>
          <w:rFonts w:ascii="Segoe UI" w:hAnsi="Segoe UI" w:cs="Segoe UI"/>
        </w:rPr>
        <w:t xml:space="preserve">Public health recommendations to prevent the spread of MPX for employees </w:t>
      </w:r>
      <w:proofErr w:type="gramStart"/>
      <w:r w:rsidRPr="0045412B">
        <w:rPr>
          <w:rFonts w:ascii="Segoe UI" w:hAnsi="Segoe UI" w:cs="Segoe UI"/>
        </w:rPr>
        <w:t>entering into</w:t>
      </w:r>
      <w:proofErr w:type="gramEnd"/>
      <w:r w:rsidRPr="0045412B">
        <w:rPr>
          <w:rFonts w:ascii="Segoe UI" w:hAnsi="Segoe UI" w:cs="Segoe UI"/>
        </w:rPr>
        <w:t xml:space="preserve"> rooms in which persons with suspected or confirmed MPX are located or were recently located include: </w:t>
      </w:r>
    </w:p>
    <w:p w14:paraId="4ABCFB98" w14:textId="57D80FC7" w:rsidR="00A16D3C" w:rsidRPr="00F71ADD" w:rsidRDefault="00A16D3C" w:rsidP="00F71ADD">
      <w:pPr>
        <w:pStyle w:val="ListParagraph"/>
        <w:numPr>
          <w:ilvl w:val="0"/>
          <w:numId w:val="10"/>
        </w:numPr>
        <w:spacing w:after="0"/>
        <w:rPr>
          <w:rFonts w:ascii="Segoe UI" w:hAnsi="Segoe UI" w:cs="Segoe UI"/>
        </w:rPr>
      </w:pPr>
      <w:r w:rsidRPr="00F71ADD">
        <w:rPr>
          <w:rFonts w:ascii="Segoe UI" w:hAnsi="Segoe UI" w:cs="Segoe UI"/>
        </w:rPr>
        <w:t xml:space="preserve">Use of NIOSH-approved particulate respirators equipped with fit-tested N95 filters or higher </w:t>
      </w:r>
    </w:p>
    <w:p w14:paraId="4F0CD740" w14:textId="40F1E45D" w:rsidR="00A16D3C" w:rsidRPr="00F71ADD" w:rsidRDefault="00A16D3C" w:rsidP="00F71ADD">
      <w:pPr>
        <w:pStyle w:val="ListParagraph"/>
        <w:numPr>
          <w:ilvl w:val="0"/>
          <w:numId w:val="10"/>
        </w:numPr>
        <w:spacing w:after="0"/>
        <w:rPr>
          <w:rFonts w:ascii="Segoe UI" w:hAnsi="Segoe UI" w:cs="Segoe UI"/>
        </w:rPr>
      </w:pPr>
      <w:r w:rsidRPr="00F71ADD">
        <w:rPr>
          <w:rFonts w:ascii="Segoe UI" w:hAnsi="Segoe UI" w:cs="Segoe UI"/>
        </w:rPr>
        <w:t xml:space="preserve">Eye protection (i.e., goggles or a face shield that covers the front and sides of the face) </w:t>
      </w:r>
    </w:p>
    <w:p w14:paraId="3AAA94B5" w14:textId="5F4B6DFD" w:rsidR="00A16D3C" w:rsidRPr="00F71ADD" w:rsidRDefault="00A16D3C" w:rsidP="00F71ADD">
      <w:pPr>
        <w:pStyle w:val="ListParagraph"/>
        <w:numPr>
          <w:ilvl w:val="0"/>
          <w:numId w:val="10"/>
        </w:numPr>
        <w:spacing w:after="0"/>
        <w:rPr>
          <w:rFonts w:ascii="Segoe UI" w:hAnsi="Segoe UI" w:cs="Segoe UI"/>
        </w:rPr>
      </w:pPr>
      <w:r w:rsidRPr="00F71ADD">
        <w:rPr>
          <w:rFonts w:ascii="Segoe UI" w:hAnsi="Segoe UI" w:cs="Segoe UI"/>
        </w:rPr>
        <w:t>Gowns and gloves.</w:t>
      </w:r>
    </w:p>
    <w:p w14:paraId="3D17B128" w14:textId="77777777" w:rsidR="00A16D3C" w:rsidRPr="0045412B" w:rsidRDefault="00A16D3C" w:rsidP="00A16D3C">
      <w:pPr>
        <w:spacing w:after="0"/>
        <w:rPr>
          <w:rFonts w:ascii="Segoe UI" w:hAnsi="Segoe UI" w:cs="Segoe UI"/>
        </w:rPr>
      </w:pPr>
    </w:p>
    <w:p w14:paraId="50F4175C" w14:textId="77777777" w:rsidR="00A16D3C" w:rsidRPr="0045412B" w:rsidRDefault="00A16D3C" w:rsidP="00A16D3C">
      <w:pPr>
        <w:spacing w:after="0"/>
        <w:rPr>
          <w:rFonts w:ascii="Segoe UI" w:hAnsi="Segoe UI" w:cs="Segoe UI"/>
        </w:rPr>
      </w:pPr>
      <w:r w:rsidRPr="0045412B">
        <w:rPr>
          <w:rFonts w:ascii="Segoe UI" w:hAnsi="Segoe UI" w:cs="Segoe UI"/>
        </w:rPr>
        <w:t>In short, the ATD applies to a specific list of employers which are found in the information provided in the link above and has three (3) recognized employer types: referring, laboratory</w:t>
      </w:r>
      <w:r>
        <w:rPr>
          <w:rFonts w:ascii="Segoe UI" w:hAnsi="Segoe UI" w:cs="Segoe UI"/>
        </w:rPr>
        <w:t>,</w:t>
      </w:r>
      <w:r w:rsidRPr="0045412B">
        <w:rPr>
          <w:rFonts w:ascii="Segoe UI" w:hAnsi="Segoe UI" w:cs="Segoe UI"/>
        </w:rPr>
        <w:t xml:space="preserve"> and others) and regardless of the employer type, incident reporting and post-reporting procedures are similar and</w:t>
      </w:r>
      <w:r>
        <w:rPr>
          <w:rFonts w:ascii="Segoe UI" w:hAnsi="Segoe UI" w:cs="Segoe UI"/>
        </w:rPr>
        <w:t>,</w:t>
      </w:r>
      <w:r w:rsidRPr="0045412B">
        <w:rPr>
          <w:rFonts w:ascii="Segoe UI" w:hAnsi="Segoe UI" w:cs="Segoe UI"/>
        </w:rPr>
        <w:t xml:space="preserve"> at the time of this publication</w:t>
      </w:r>
      <w:r>
        <w:rPr>
          <w:rFonts w:ascii="Segoe UI" w:hAnsi="Segoe UI" w:cs="Segoe UI"/>
        </w:rPr>
        <w:t>,</w:t>
      </w:r>
      <w:r w:rsidRPr="0045412B">
        <w:rPr>
          <w:rFonts w:ascii="Segoe UI" w:hAnsi="Segoe UI" w:cs="Segoe UI"/>
        </w:rPr>
        <w:t xml:space="preserve"> require the following:</w:t>
      </w:r>
    </w:p>
    <w:p w14:paraId="3F30F75E" w14:textId="77777777" w:rsidR="00A16D3C" w:rsidRPr="0045412B" w:rsidRDefault="00A16D3C" w:rsidP="00A16D3C">
      <w:pPr>
        <w:spacing w:after="0"/>
        <w:rPr>
          <w:rFonts w:ascii="Segoe UI" w:hAnsi="Segoe UI" w:cs="Segoe UI"/>
        </w:rPr>
      </w:pPr>
    </w:p>
    <w:p w14:paraId="548EADE9" w14:textId="77777777" w:rsidR="00A16D3C" w:rsidRDefault="00A16D3C" w:rsidP="00A16D3C">
      <w:pPr>
        <w:spacing w:after="0"/>
        <w:rPr>
          <w:rFonts w:ascii="Segoe UI" w:hAnsi="Segoe UI" w:cs="Segoe UI"/>
        </w:rPr>
      </w:pPr>
      <w:r>
        <w:rPr>
          <w:rFonts w:ascii="Segoe UI" w:hAnsi="Segoe UI" w:cs="Segoe UI"/>
        </w:rPr>
        <w:t>Implement</w:t>
      </w:r>
      <w:r w:rsidRPr="0045412B">
        <w:rPr>
          <w:rFonts w:ascii="Segoe UI" w:hAnsi="Segoe UI" w:cs="Segoe UI"/>
        </w:rPr>
        <w:t xml:space="preserve"> written procedures for exposure incidents (also known as a “significant exposure”). </w:t>
      </w:r>
    </w:p>
    <w:p w14:paraId="00B2988B" w14:textId="77777777" w:rsidR="00A16D3C" w:rsidRDefault="00A16D3C" w:rsidP="00A16D3C">
      <w:pPr>
        <w:spacing w:after="0"/>
        <w:rPr>
          <w:rFonts w:ascii="Segoe UI" w:hAnsi="Segoe UI" w:cs="Segoe UI"/>
        </w:rPr>
      </w:pPr>
    </w:p>
    <w:p w14:paraId="530FE752" w14:textId="77777777" w:rsidR="00F71ADD" w:rsidRDefault="00F71ADD" w:rsidP="00F71ADD">
      <w:pPr>
        <w:pStyle w:val="Heading3"/>
      </w:pPr>
    </w:p>
    <w:p w14:paraId="7DB67A31" w14:textId="77777777" w:rsidR="00F71ADD" w:rsidRDefault="00F71ADD" w:rsidP="00F71ADD">
      <w:pPr>
        <w:pStyle w:val="Heading3"/>
      </w:pPr>
    </w:p>
    <w:p w14:paraId="5E92B841" w14:textId="242A16B9" w:rsidR="00A16D3C" w:rsidRPr="0045412B" w:rsidRDefault="00A16D3C" w:rsidP="00F71ADD">
      <w:pPr>
        <w:pStyle w:val="Heading3"/>
      </w:pPr>
      <w:r w:rsidRPr="0045412B">
        <w:t xml:space="preserve">An exposure incident is when </w:t>
      </w:r>
      <w:proofErr w:type="gramStart"/>
      <w:r w:rsidRPr="0045412B">
        <w:t>all of</w:t>
      </w:r>
      <w:proofErr w:type="gramEnd"/>
      <w:r w:rsidRPr="0045412B">
        <w:t xml:space="preserve"> the following occurs: </w:t>
      </w:r>
    </w:p>
    <w:p w14:paraId="3DB37273" w14:textId="77777777" w:rsidR="00A16D3C" w:rsidRPr="0045412B" w:rsidRDefault="00A16D3C" w:rsidP="00A16D3C">
      <w:pPr>
        <w:spacing w:after="0"/>
        <w:rPr>
          <w:rFonts w:ascii="Segoe UI" w:hAnsi="Segoe UI" w:cs="Segoe UI"/>
        </w:rPr>
      </w:pPr>
    </w:p>
    <w:p w14:paraId="283A8D1B" w14:textId="3583A6DA" w:rsidR="00A16D3C" w:rsidRPr="00F71ADD" w:rsidRDefault="00A16D3C" w:rsidP="00F71ADD">
      <w:pPr>
        <w:pStyle w:val="ListParagraph"/>
        <w:numPr>
          <w:ilvl w:val="0"/>
          <w:numId w:val="12"/>
        </w:numPr>
        <w:spacing w:after="0"/>
        <w:rPr>
          <w:rFonts w:ascii="Segoe UI" w:hAnsi="Segoe UI" w:cs="Segoe UI"/>
        </w:rPr>
      </w:pPr>
      <w:r w:rsidRPr="00F71ADD">
        <w:rPr>
          <w:rFonts w:ascii="Segoe UI" w:hAnsi="Segoe UI" w:cs="Segoe UI"/>
        </w:rPr>
        <w:t xml:space="preserve">An employee has been exposed (i.e., has been in prolonged close contact) to a person with suspected or confirmed MPX; or in contact with a work area or to equipment that is reasonably expected to contain monkeypox. This includes contact with lesions, bodily fluids, or other materials, such as used linens, likely to contain virus </w:t>
      </w:r>
      <w:proofErr w:type="gramStart"/>
      <w:r w:rsidRPr="00F71ADD">
        <w:rPr>
          <w:rFonts w:ascii="Segoe UI" w:hAnsi="Segoe UI" w:cs="Segoe UI"/>
        </w:rPr>
        <w:t>particles;</w:t>
      </w:r>
      <w:proofErr w:type="gramEnd"/>
      <w:r w:rsidRPr="00F71ADD">
        <w:rPr>
          <w:rFonts w:ascii="Segoe UI" w:hAnsi="Segoe UI" w:cs="Segoe UI"/>
        </w:rPr>
        <w:t xml:space="preserve"> </w:t>
      </w:r>
    </w:p>
    <w:p w14:paraId="69440ACA" w14:textId="77777777" w:rsidR="00A16D3C" w:rsidRPr="0045412B" w:rsidRDefault="00A16D3C" w:rsidP="00A16D3C">
      <w:pPr>
        <w:spacing w:after="0"/>
        <w:rPr>
          <w:rFonts w:ascii="Segoe UI" w:hAnsi="Segoe UI" w:cs="Segoe UI"/>
        </w:rPr>
      </w:pPr>
    </w:p>
    <w:p w14:paraId="725EDA3F" w14:textId="697E0029" w:rsidR="00A16D3C" w:rsidRPr="00F71ADD" w:rsidRDefault="00A16D3C" w:rsidP="00F71ADD">
      <w:pPr>
        <w:pStyle w:val="ListParagraph"/>
        <w:numPr>
          <w:ilvl w:val="0"/>
          <w:numId w:val="12"/>
        </w:numPr>
        <w:spacing w:after="0"/>
        <w:rPr>
          <w:rFonts w:ascii="Segoe UI" w:hAnsi="Segoe UI" w:cs="Segoe UI"/>
        </w:rPr>
      </w:pPr>
      <w:r w:rsidRPr="00F71ADD">
        <w:rPr>
          <w:rFonts w:ascii="Segoe UI" w:hAnsi="Segoe UI" w:cs="Segoe UI"/>
        </w:rPr>
        <w:t>The exposure occurred without applicable exposure controls required by the ATD Standard, such as respiratory protection and PPE; and</w:t>
      </w:r>
    </w:p>
    <w:p w14:paraId="3BE78E2F" w14:textId="5B7CD230" w:rsidR="00A16D3C" w:rsidRPr="0045412B" w:rsidRDefault="00A16D3C" w:rsidP="00F71ADD">
      <w:pPr>
        <w:spacing w:after="0"/>
        <w:ind w:firstLine="60"/>
        <w:rPr>
          <w:rFonts w:ascii="Segoe UI" w:hAnsi="Segoe UI" w:cs="Segoe UI"/>
        </w:rPr>
      </w:pPr>
    </w:p>
    <w:p w14:paraId="3D467F1C" w14:textId="5E986576" w:rsidR="00A16D3C" w:rsidRPr="00F71ADD" w:rsidRDefault="00A16D3C" w:rsidP="00F71ADD">
      <w:pPr>
        <w:pStyle w:val="ListParagraph"/>
        <w:numPr>
          <w:ilvl w:val="0"/>
          <w:numId w:val="12"/>
        </w:numPr>
        <w:spacing w:after="0"/>
        <w:rPr>
          <w:rFonts w:ascii="Segoe UI" w:hAnsi="Segoe UI" w:cs="Segoe UI"/>
        </w:rPr>
      </w:pPr>
      <w:r w:rsidRPr="00F71ADD">
        <w:rPr>
          <w:rFonts w:ascii="Segoe UI" w:hAnsi="Segoe UI" w:cs="Segoe UI"/>
        </w:rPr>
        <w:t xml:space="preserve">Transmission of disease is sufficiently likely to require medical evaluation. </w:t>
      </w:r>
    </w:p>
    <w:p w14:paraId="54872D70" w14:textId="77777777" w:rsidR="00A16D3C" w:rsidRPr="0045412B" w:rsidRDefault="00A16D3C" w:rsidP="00A16D3C">
      <w:pPr>
        <w:spacing w:after="0"/>
        <w:rPr>
          <w:rFonts w:ascii="Segoe UI" w:hAnsi="Segoe UI" w:cs="Segoe UI"/>
        </w:rPr>
      </w:pPr>
    </w:p>
    <w:p w14:paraId="1823FD87" w14:textId="6ADDF76A" w:rsidR="00A16D3C" w:rsidRPr="0045412B" w:rsidRDefault="00A16D3C" w:rsidP="00A16D3C">
      <w:pPr>
        <w:rPr>
          <w:rFonts w:ascii="Segoe UI" w:hAnsi="Segoe UI" w:cs="Segoe UI"/>
        </w:rPr>
      </w:pPr>
      <w:r w:rsidRPr="0045412B">
        <w:rPr>
          <w:rFonts w:ascii="Segoe UI" w:hAnsi="Segoe UI" w:cs="Segoe UI"/>
        </w:rPr>
        <w:t>Employers must do the following for workers who had a significant exposure to MPX</w:t>
      </w:r>
      <w:proofErr w:type="gramStart"/>
      <w:r w:rsidRPr="0045412B">
        <w:rPr>
          <w:rFonts w:ascii="Segoe UI" w:hAnsi="Segoe UI" w:cs="Segoe UI"/>
        </w:rPr>
        <w:t>9 :</w:t>
      </w:r>
      <w:proofErr w:type="gramEnd"/>
      <w:r w:rsidRPr="0045412B">
        <w:rPr>
          <w:rFonts w:ascii="Segoe UI" w:hAnsi="Segoe UI" w:cs="Segoe UI"/>
        </w:rPr>
        <w:t xml:space="preserve"> </w:t>
      </w:r>
    </w:p>
    <w:p w14:paraId="37C1EA67" w14:textId="77777777" w:rsidR="00A16D3C" w:rsidRPr="0045412B" w:rsidRDefault="00A16D3C" w:rsidP="00A16D3C">
      <w:pPr>
        <w:spacing w:after="0"/>
        <w:rPr>
          <w:rFonts w:ascii="Segoe UI" w:hAnsi="Segoe UI" w:cs="Segoe UI"/>
        </w:rPr>
      </w:pPr>
    </w:p>
    <w:p w14:paraId="254A3A66" w14:textId="77777777" w:rsidR="00A16D3C" w:rsidRPr="0045412B" w:rsidRDefault="00A16D3C" w:rsidP="00A16D3C">
      <w:pPr>
        <w:pStyle w:val="ListParagraph"/>
        <w:numPr>
          <w:ilvl w:val="0"/>
          <w:numId w:val="4"/>
        </w:numPr>
        <w:spacing w:after="0"/>
        <w:ind w:left="720"/>
        <w:rPr>
          <w:rFonts w:ascii="Segoe UI" w:hAnsi="Segoe UI" w:cs="Segoe UI"/>
        </w:rPr>
      </w:pPr>
      <w:r w:rsidRPr="0045412B">
        <w:rPr>
          <w:rFonts w:ascii="Segoe UI" w:hAnsi="Segoe UI" w:cs="Segoe UI"/>
        </w:rPr>
        <w:t xml:space="preserve">Notify workers of the date, time, and nature of the exposure. </w:t>
      </w:r>
    </w:p>
    <w:p w14:paraId="2BAF31C0" w14:textId="77777777" w:rsidR="00A16D3C" w:rsidRPr="0045412B" w:rsidRDefault="00A16D3C" w:rsidP="00A16D3C">
      <w:pPr>
        <w:pStyle w:val="ListParagraph"/>
        <w:numPr>
          <w:ilvl w:val="0"/>
          <w:numId w:val="3"/>
        </w:numPr>
        <w:spacing w:after="0"/>
        <w:rPr>
          <w:rFonts w:ascii="Segoe UI" w:hAnsi="Segoe UI" w:cs="Segoe UI"/>
        </w:rPr>
      </w:pPr>
      <w:r w:rsidRPr="0045412B">
        <w:rPr>
          <w:rFonts w:ascii="Segoe UI" w:hAnsi="Segoe UI" w:cs="Segoe UI"/>
        </w:rPr>
        <w:t xml:space="preserve">Provide a post-exposure medical evaluation by a physician or other licensed </w:t>
      </w:r>
      <w:r>
        <w:rPr>
          <w:rFonts w:ascii="Segoe UI" w:hAnsi="Segoe UI" w:cs="Segoe UI"/>
        </w:rPr>
        <w:t>healthcare</w:t>
      </w:r>
      <w:r w:rsidRPr="0045412B">
        <w:rPr>
          <w:rFonts w:ascii="Segoe UI" w:hAnsi="Segoe UI" w:cs="Segoe UI"/>
        </w:rPr>
        <w:t xml:space="preserve"> professional (PLHCP) knowledgeable about MPX, including appropriate vaccination, prophylaxis, and treatment.</w:t>
      </w:r>
    </w:p>
    <w:p w14:paraId="7B144C4B" w14:textId="77777777" w:rsidR="00A16D3C" w:rsidRPr="0045412B" w:rsidRDefault="00A16D3C" w:rsidP="00A16D3C">
      <w:pPr>
        <w:pStyle w:val="ListParagraph"/>
        <w:numPr>
          <w:ilvl w:val="0"/>
          <w:numId w:val="3"/>
        </w:numPr>
        <w:spacing w:after="0"/>
        <w:rPr>
          <w:rFonts w:ascii="Segoe UI" w:hAnsi="Segoe UI" w:cs="Segoe UI"/>
        </w:rPr>
      </w:pPr>
      <w:r w:rsidRPr="0045412B">
        <w:rPr>
          <w:rFonts w:ascii="Segoe UI" w:hAnsi="Segoe UI" w:cs="Segoe UI"/>
        </w:rPr>
        <w:t xml:space="preserve">Provide post-exposure prophylaxis (i.e., vaccination for MPX) as soon as possible; often done through the local health department. </w:t>
      </w:r>
    </w:p>
    <w:p w14:paraId="54BFC644" w14:textId="77777777" w:rsidR="00A16D3C" w:rsidRPr="0045412B" w:rsidRDefault="00A16D3C" w:rsidP="00A16D3C">
      <w:pPr>
        <w:pStyle w:val="ListParagraph"/>
        <w:numPr>
          <w:ilvl w:val="0"/>
          <w:numId w:val="3"/>
        </w:numPr>
        <w:rPr>
          <w:rFonts w:ascii="Segoe UI" w:hAnsi="Segoe UI" w:cs="Segoe UI"/>
        </w:rPr>
      </w:pPr>
      <w:r w:rsidRPr="0045412B">
        <w:rPr>
          <w:rFonts w:ascii="Segoe UI" w:hAnsi="Segoe UI" w:cs="Segoe UI"/>
        </w:rPr>
        <w:t xml:space="preserve">Report the exposure to the local health officer. </w:t>
      </w:r>
    </w:p>
    <w:p w14:paraId="5C2603A1" w14:textId="77777777" w:rsidR="00A16D3C" w:rsidRPr="0045412B" w:rsidRDefault="00A16D3C" w:rsidP="00A16D3C">
      <w:pPr>
        <w:pStyle w:val="ListParagraph"/>
        <w:numPr>
          <w:ilvl w:val="0"/>
          <w:numId w:val="3"/>
        </w:numPr>
        <w:rPr>
          <w:rFonts w:ascii="Segoe UI" w:hAnsi="Segoe UI" w:cs="Segoe UI"/>
        </w:rPr>
      </w:pPr>
      <w:r w:rsidRPr="0045412B">
        <w:rPr>
          <w:rFonts w:ascii="Segoe UI" w:hAnsi="Segoe UI" w:cs="Segoe UI"/>
        </w:rPr>
        <w:t>Remove the employee from the workplace if the PHLCP or local health officer recommends precautionary removal. Maintain the employee’s pay, rights, benefits, etc.</w:t>
      </w:r>
      <w:r>
        <w:rPr>
          <w:rFonts w:ascii="Segoe UI" w:hAnsi="Segoe UI" w:cs="Segoe UI"/>
        </w:rPr>
        <w:t>,</w:t>
      </w:r>
      <w:r w:rsidRPr="0045412B">
        <w:rPr>
          <w:rFonts w:ascii="Segoe UI" w:hAnsi="Segoe UI" w:cs="Segoe UI"/>
        </w:rPr>
        <w:t xml:space="preserve"> during precautionary removal. When an exposure does not meet the criteria for “significant” exposure, workers should still monitor themselves for symptoms for 21 days after exposure and report to their employer if they develop symptoms.</w:t>
      </w:r>
    </w:p>
    <w:p w14:paraId="39662B07" w14:textId="77777777" w:rsidR="00A16D3C" w:rsidRPr="0045412B" w:rsidRDefault="00A16D3C" w:rsidP="00A16D3C">
      <w:pPr>
        <w:rPr>
          <w:rFonts w:ascii="Segoe UI" w:hAnsi="Segoe UI" w:cs="Segoe UI"/>
        </w:rPr>
      </w:pPr>
      <w:r w:rsidRPr="0045412B">
        <w:rPr>
          <w:rFonts w:ascii="Segoe UI" w:hAnsi="Segoe UI" w:cs="Segoe UI"/>
        </w:rPr>
        <w:t>Also</w:t>
      </w:r>
      <w:r>
        <w:rPr>
          <w:rFonts w:ascii="Segoe UI" w:hAnsi="Segoe UI" w:cs="Segoe UI"/>
        </w:rPr>
        <w:t>,</w:t>
      </w:r>
      <w:r w:rsidRPr="0045412B">
        <w:rPr>
          <w:rFonts w:ascii="Segoe UI" w:hAnsi="Segoe UI" w:cs="Segoe UI"/>
        </w:rPr>
        <w:t xml:space="preserve"> please refer to your local health department, which may be county or city run. The listing of these </w:t>
      </w:r>
      <w:r>
        <w:rPr>
          <w:rFonts w:ascii="Segoe UI" w:hAnsi="Segoe UI" w:cs="Segoe UI"/>
        </w:rPr>
        <w:t>LHDs</w:t>
      </w:r>
      <w:r w:rsidRPr="0045412B">
        <w:rPr>
          <w:rFonts w:ascii="Segoe UI" w:hAnsi="Segoe UI" w:cs="Segoe UI"/>
        </w:rPr>
        <w:t xml:space="preserve"> in California can be found at the link: </w:t>
      </w:r>
    </w:p>
    <w:p w14:paraId="1F8D88D5" w14:textId="77777777" w:rsidR="00A16D3C" w:rsidRPr="0045412B" w:rsidRDefault="00A16D3C" w:rsidP="00A16D3C">
      <w:pPr>
        <w:rPr>
          <w:rFonts w:ascii="Segoe UI" w:hAnsi="Segoe UI" w:cs="Segoe UI"/>
        </w:rPr>
      </w:pPr>
      <w:hyperlink r:id="rId14" w:history="1">
        <w:r w:rsidRPr="0045412B">
          <w:rPr>
            <w:rStyle w:val="Hyperlink"/>
            <w:rFonts w:ascii="Segoe UI" w:hAnsi="Segoe UI" w:cs="Segoe UI"/>
          </w:rPr>
          <w:t>Local Health Services/Offices</w:t>
        </w:r>
      </w:hyperlink>
    </w:p>
    <w:p w14:paraId="4AD4FE57" w14:textId="35142271" w:rsidR="65650367" w:rsidRPr="00A16D3C" w:rsidRDefault="00A16D3C" w:rsidP="00A16D3C">
      <w:pPr>
        <w:rPr>
          <w:rFonts w:ascii="Segoe UI" w:hAnsi="Segoe UI" w:cs="Segoe UI"/>
        </w:rPr>
      </w:pPr>
      <w:r w:rsidRPr="0045412B">
        <w:rPr>
          <w:rFonts w:ascii="Segoe UI" w:hAnsi="Segoe UI" w:cs="Segoe UI"/>
        </w:rPr>
        <w:t>In addition to the information provided here, please feel free to contact BHHC Loss Control for additional guidance and recommendations to assist in addressing this exposure in the workplace should the need arise or for prevention suggestions.</w:t>
      </w:r>
    </w:p>
    <w:sectPr w:rsidR="65650367" w:rsidRPr="00A16D3C" w:rsidSect="007C2553">
      <w:headerReference w:type="default" r:id="rId15"/>
      <w:footerReference w:type="default" r:id="rId16"/>
      <w:pgSz w:w="12240" w:h="15840"/>
      <w:pgMar w:top="225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C2D7" w14:textId="77777777" w:rsidR="00580322" w:rsidRDefault="00580322" w:rsidP="00170A88">
      <w:pPr>
        <w:spacing w:after="0" w:line="240" w:lineRule="auto"/>
      </w:pPr>
      <w:r>
        <w:separator/>
      </w:r>
    </w:p>
  </w:endnote>
  <w:endnote w:type="continuationSeparator" w:id="0">
    <w:p w14:paraId="4A8D864F" w14:textId="77777777" w:rsidR="00580322" w:rsidRDefault="00580322" w:rsidP="0017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elle Sans">
    <w:panose1 w:val="02000503000000020004"/>
    <w:charset w:val="00"/>
    <w:family w:val="modern"/>
    <w:notTrueType/>
    <w:pitch w:val="variable"/>
    <w:sig w:usb0="80000087" w:usb1="0000004B" w:usb2="00000000" w:usb3="00000000" w:csb0="00000083" w:csb1="00000000"/>
  </w:font>
  <w:font w:name="Avenir LT Std 55 Roman">
    <w:panose1 w:val="020B0503020203020204"/>
    <w:charset w:val="00"/>
    <w:family w:val="swiss"/>
    <w:notTrueType/>
    <w:pitch w:val="variable"/>
    <w:sig w:usb0="800000AF" w:usb1="4000204A" w:usb2="00000000" w:usb3="00000000" w:csb0="00000001" w:csb1="00000000"/>
  </w:font>
  <w:font w:name="CenturyGothic">
    <w:altName w:val="Times New Roman"/>
    <w:panose1 w:val="00000000000000000000"/>
    <w:charset w:val="00"/>
    <w:family w:val="roman"/>
    <w:notTrueType/>
    <w:pitch w:val="default"/>
  </w:font>
  <w:font w:name="CenturyGothic-Bold">
    <w:altName w:val="Times New Roman"/>
    <w:panose1 w:val="00000000000000000000"/>
    <w:charset w:val="00"/>
    <w:family w:val="roman"/>
    <w:notTrueType/>
    <w:pitch w:val="default"/>
  </w:font>
  <w:font w:name="SegoeUI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5967" w14:textId="77777777" w:rsidR="00E222FF" w:rsidRDefault="00E222FF" w:rsidP="00E222FF">
    <w:pPr>
      <w:pStyle w:val="Footer"/>
      <w:jc w:val="center"/>
      <w:rPr>
        <w:rFonts w:ascii="Segoe UI" w:hAnsi="Segoe UI" w:cs="Segoe UI"/>
        <w:color w:val="000000" w:themeColor="text1"/>
        <w:sz w:val="12"/>
        <w:szCs w:val="16"/>
      </w:rPr>
    </w:pPr>
  </w:p>
  <w:p w14:paraId="320FA7A0" w14:textId="77777777" w:rsidR="00F840D3" w:rsidRDefault="00E222FF" w:rsidP="00E222FF">
    <w:pPr>
      <w:pStyle w:val="Footer"/>
      <w:jc w:val="center"/>
    </w:pPr>
    <w:r w:rsidRPr="00DD13B0">
      <w:rPr>
        <w:rFonts w:ascii="Segoe UI" w:hAnsi="Segoe UI" w:cs="Segoe UI"/>
        <w:color w:val="000000" w:themeColor="text1"/>
        <w:sz w:val="12"/>
        <w:szCs w:val="16"/>
      </w:rPr>
      <w:t xml:space="preserve">BERKSHIRE HATHAWAY HOMESTATE INSURANCE COMPANY • </w:t>
    </w:r>
    <w:r w:rsidR="00542811">
      <w:rPr>
        <w:rFonts w:ascii="Segoe UI" w:hAnsi="Segoe UI" w:cs="Segoe UI"/>
        <w:color w:val="000000" w:themeColor="text1"/>
        <w:sz w:val="12"/>
        <w:szCs w:val="16"/>
      </w:rPr>
      <w:t xml:space="preserve">BHHC SPECIAL RISKS INSURANCE COMPANY </w:t>
    </w:r>
    <w:r w:rsidRPr="00DD13B0">
      <w:rPr>
        <w:rFonts w:ascii="Segoe UI" w:hAnsi="Segoe UI" w:cs="Segoe UI"/>
        <w:color w:val="000000" w:themeColor="text1"/>
        <w:sz w:val="12"/>
        <w:szCs w:val="16"/>
      </w:rPr>
      <w:t xml:space="preserve">• CONTINENTAL DIVIDE INSURANCE COMPANY </w:t>
    </w:r>
    <w:r w:rsidR="00FD06BC">
      <w:rPr>
        <w:rFonts w:ascii="Segoe UI" w:hAnsi="Segoe UI" w:cs="Segoe UI"/>
        <w:color w:val="000000" w:themeColor="text1"/>
        <w:sz w:val="12"/>
        <w:szCs w:val="16"/>
      </w:rPr>
      <w:br/>
    </w:r>
    <w:r w:rsidRPr="00DD13B0">
      <w:rPr>
        <w:rFonts w:ascii="Segoe UI" w:hAnsi="Segoe UI" w:cs="Segoe UI"/>
        <w:color w:val="000000" w:themeColor="text1"/>
        <w:sz w:val="12"/>
        <w:szCs w:val="16"/>
      </w:rPr>
      <w:t>CYPRESS INSURANCE COMPANY • OAK RIVER INSURANCE COMPANY • REDWOOD FIRE AND CASUALTY INSURANCE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45A2" w14:textId="77777777" w:rsidR="00580322" w:rsidRDefault="00580322" w:rsidP="00170A88">
      <w:pPr>
        <w:spacing w:after="0" w:line="240" w:lineRule="auto"/>
      </w:pPr>
      <w:r>
        <w:separator/>
      </w:r>
    </w:p>
  </w:footnote>
  <w:footnote w:type="continuationSeparator" w:id="0">
    <w:p w14:paraId="2CAA3D25" w14:textId="77777777" w:rsidR="00580322" w:rsidRDefault="00580322" w:rsidP="00170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D40C" w14:textId="77777777" w:rsidR="00A16D3C" w:rsidRPr="00380E72" w:rsidRDefault="00A16D3C" w:rsidP="00A16D3C">
    <w:pPr>
      <w:pStyle w:val="Title"/>
      <w:tabs>
        <w:tab w:val="left" w:pos="7054"/>
      </w:tabs>
      <w:jc w:val="left"/>
    </w:pPr>
    <w:r>
      <w:drawing>
        <wp:anchor distT="0" distB="0" distL="114300" distR="114300" simplePos="0" relativeHeight="251663360" behindDoc="1" locked="0" layoutInCell="1" allowOverlap="1" wp14:anchorId="52028AF8" wp14:editId="469A1BE4">
          <wp:simplePos x="0" y="0"/>
          <wp:positionH relativeFrom="page">
            <wp:posOffset>791918</wp:posOffset>
          </wp:positionH>
          <wp:positionV relativeFrom="page">
            <wp:posOffset>189865</wp:posOffset>
          </wp:positionV>
          <wp:extent cx="2054346" cy="672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054346" cy="672435"/>
                  </a:xfrm>
                  <a:prstGeom prst="rect">
                    <a:avLst/>
                  </a:prstGeom>
                </pic:spPr>
              </pic:pic>
            </a:graphicData>
          </a:graphic>
          <wp14:sizeRelH relativeFrom="margin">
            <wp14:pctWidth>0</wp14:pctWidth>
          </wp14:sizeRelH>
          <wp14:sizeRelV relativeFrom="margin">
            <wp14:pctHeight>0</wp14:pctHeight>
          </wp14:sizeRelV>
        </wp:anchor>
      </w:drawing>
    </w:r>
    <w:r>
      <w:tab/>
    </w:r>
    <w:r>
      <w:rPr>
        <w:color w:val="004B82"/>
      </w:rPr>
      <mc:AlternateContent>
        <mc:Choice Requires="wps">
          <w:drawing>
            <wp:anchor distT="0" distB="0" distL="114300" distR="114300" simplePos="0" relativeHeight="251664384" behindDoc="0" locked="0" layoutInCell="1" allowOverlap="1" wp14:anchorId="212CE4D4" wp14:editId="52535B2D">
              <wp:simplePos x="0" y="0"/>
              <wp:positionH relativeFrom="column">
                <wp:posOffset>-914400</wp:posOffset>
              </wp:positionH>
              <wp:positionV relativeFrom="paragraph">
                <wp:posOffset>405130</wp:posOffset>
              </wp:positionV>
              <wp:extent cx="6829425" cy="73152"/>
              <wp:effectExtent l="0" t="0" r="9525" b="3175"/>
              <wp:wrapTopAndBottom/>
              <wp:docPr id="1" name="Rectangle 1"/>
              <wp:cNvGraphicFramePr/>
              <a:graphic xmlns:a="http://schemas.openxmlformats.org/drawingml/2006/main">
                <a:graphicData uri="http://schemas.microsoft.com/office/word/2010/wordprocessingShape">
                  <wps:wsp>
                    <wps:cNvSpPr/>
                    <wps:spPr>
                      <a:xfrm>
                        <a:off x="0" y="0"/>
                        <a:ext cx="6829425" cy="73152"/>
                      </a:xfrm>
                      <a:prstGeom prst="rect">
                        <a:avLst/>
                      </a:prstGeom>
                      <a:gradFill flip="none" rotWithShape="1">
                        <a:gsLst>
                          <a:gs pos="0">
                            <a:srgbClr val="004B82"/>
                          </a:gs>
                          <a:gs pos="100000">
                            <a:srgbClr val="00B9ED">
                              <a:alpha val="0"/>
                            </a:srgbClr>
                          </a:gs>
                          <a:gs pos="50000">
                            <a:srgbClr val="00B9ED">
                              <a:alpha val="50000"/>
                            </a:srgbClr>
                          </a:gs>
                        </a:gsLst>
                        <a:lin ang="4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C5E61F" id="Rectangle 1" o:spid="_x0000_s1026" style="position:absolute;margin-left:-1in;margin-top:31.9pt;width:537.75pt;height: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" fillcolor="#004b82" stroked="f" strokeweight="1pt">
              <v:fill opacity="0" color2="#00b9ed" rotate="t" angle="10" colors="0 #004b82;.5 #00b9ed;1 #00b9ed" focus="100%" type="gradient">
                <o:fill v:ext="view" type="gradientUnscaled"/>
              </v:fill>
              <w10:wrap type="topAndBottom"/>
            </v:rect>
          </w:pict>
        </mc:Fallback>
      </mc:AlternateContent>
    </w:r>
  </w:p>
  <w:p w14:paraId="24F47A3F" w14:textId="77777777" w:rsidR="00A16D3C" w:rsidRPr="007C2553" w:rsidRDefault="00A16D3C" w:rsidP="00A16D3C"/>
  <w:p w14:paraId="43BF85CA" w14:textId="02A42729" w:rsidR="00A16D3C" w:rsidRDefault="00A16D3C" w:rsidP="00A16D3C">
    <w:pPr>
      <w:pStyle w:val="Heading1"/>
    </w:pPr>
    <w:r>
      <w:t>Monkey Pox Basics</w:t>
    </w:r>
  </w:p>
  <w:p w14:paraId="6E7F0910" w14:textId="77777777" w:rsidR="00A16D3C" w:rsidRPr="00A16D3C" w:rsidRDefault="00A16D3C" w:rsidP="00A16D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AB99" w14:textId="71A5FC7F" w:rsidR="00170A88" w:rsidRPr="00380E72" w:rsidRDefault="00F840D3" w:rsidP="00380E72">
    <w:pPr>
      <w:pStyle w:val="Title"/>
      <w:tabs>
        <w:tab w:val="left" w:pos="7054"/>
      </w:tabs>
      <w:jc w:val="left"/>
    </w:pPr>
    <w:r>
      <w:drawing>
        <wp:anchor distT="0" distB="0" distL="114300" distR="114300" simplePos="0" relativeHeight="251660288" behindDoc="1" locked="0" layoutInCell="1" allowOverlap="1" wp14:anchorId="20B5F636" wp14:editId="239C2263">
          <wp:simplePos x="0" y="0"/>
          <wp:positionH relativeFrom="page">
            <wp:posOffset>791918</wp:posOffset>
          </wp:positionH>
          <wp:positionV relativeFrom="page">
            <wp:posOffset>189865</wp:posOffset>
          </wp:positionV>
          <wp:extent cx="2054346" cy="6724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054346" cy="672435"/>
                  </a:xfrm>
                  <a:prstGeom prst="rect">
                    <a:avLst/>
                  </a:prstGeom>
                </pic:spPr>
              </pic:pic>
            </a:graphicData>
          </a:graphic>
          <wp14:sizeRelH relativeFrom="margin">
            <wp14:pctWidth>0</wp14:pctWidth>
          </wp14:sizeRelH>
          <wp14:sizeRelV relativeFrom="margin">
            <wp14:pctHeight>0</wp14:pctHeight>
          </wp14:sizeRelV>
        </wp:anchor>
      </w:drawing>
    </w:r>
    <w:r>
      <w:tab/>
    </w:r>
    <w:r w:rsidR="00BA36E5">
      <w:rPr>
        <w:color w:val="004B82"/>
      </w:rPr>
      <mc:AlternateContent>
        <mc:Choice Requires="wps">
          <w:drawing>
            <wp:anchor distT="0" distB="0" distL="114300" distR="114300" simplePos="0" relativeHeight="251661312" behindDoc="0" locked="0" layoutInCell="1" allowOverlap="1" wp14:anchorId="45C71396" wp14:editId="08361038">
              <wp:simplePos x="0" y="0"/>
              <wp:positionH relativeFrom="column">
                <wp:posOffset>-914400</wp:posOffset>
              </wp:positionH>
              <wp:positionV relativeFrom="paragraph">
                <wp:posOffset>405130</wp:posOffset>
              </wp:positionV>
              <wp:extent cx="6829425" cy="73152"/>
              <wp:effectExtent l="0" t="0" r="9525" b="3175"/>
              <wp:wrapTopAndBottom/>
              <wp:docPr id="2" name="Rectangle 2"/>
              <wp:cNvGraphicFramePr/>
              <a:graphic xmlns:a="http://schemas.openxmlformats.org/drawingml/2006/main">
                <a:graphicData uri="http://schemas.microsoft.com/office/word/2010/wordprocessingShape">
                  <wps:wsp>
                    <wps:cNvSpPr/>
                    <wps:spPr>
                      <a:xfrm>
                        <a:off x="0" y="0"/>
                        <a:ext cx="6829425" cy="73152"/>
                      </a:xfrm>
                      <a:prstGeom prst="rect">
                        <a:avLst/>
                      </a:prstGeom>
                      <a:gradFill flip="none" rotWithShape="1">
                        <a:gsLst>
                          <a:gs pos="0">
                            <a:srgbClr val="004B82"/>
                          </a:gs>
                          <a:gs pos="100000">
                            <a:srgbClr val="00B9ED">
                              <a:alpha val="0"/>
                            </a:srgbClr>
                          </a:gs>
                          <a:gs pos="50000">
                            <a:srgbClr val="00B9ED">
                              <a:alpha val="50000"/>
                            </a:srgbClr>
                          </a:gs>
                        </a:gsLst>
                        <a:lin ang="4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w:pict>
            <v:rect id="Rectangle 2" style="position:absolute;margin-left:-1in;margin-top:31.9pt;width:537.75pt;height: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4b82" stroked="f" strokeweight="1pt" w14:anchorId="5A6E7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">
              <v:fill type="gradient" opacity="0" color2="#00b9ed" colors="0 #004b82;.5 #00b9ed;1 #00b9ed" angle="10" focus="100%" rotate="t">
                <o:fill v:ext="view" type="gradientUnscaled"/>
              </v:fill>
              <w10:wrap type="topAndBottom"/>
            </v:rect>
          </w:pict>
        </mc:Fallback>
      </mc:AlternateContent>
    </w:r>
  </w:p>
  <w:p w14:paraId="6D5111AD" w14:textId="6B5EC330" w:rsidR="00170A88" w:rsidRPr="007C2553" w:rsidRDefault="00170A88" w:rsidP="656503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23E4"/>
    <w:multiLevelType w:val="hybridMultilevel"/>
    <w:tmpl w:val="E71A6004"/>
    <w:lvl w:ilvl="0" w:tplc="3FEE0C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3F6E1F"/>
    <w:multiLevelType w:val="hybridMultilevel"/>
    <w:tmpl w:val="C99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44D65"/>
    <w:multiLevelType w:val="hybridMultilevel"/>
    <w:tmpl w:val="9F04E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27FF7"/>
    <w:multiLevelType w:val="hybridMultilevel"/>
    <w:tmpl w:val="9A58C9DA"/>
    <w:lvl w:ilvl="0" w:tplc="0660F17A">
      <w:start w:val="3"/>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E4354"/>
    <w:multiLevelType w:val="hybridMultilevel"/>
    <w:tmpl w:val="F926C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D1219"/>
    <w:multiLevelType w:val="hybridMultilevel"/>
    <w:tmpl w:val="D52E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A2A47"/>
    <w:multiLevelType w:val="hybridMultilevel"/>
    <w:tmpl w:val="26563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96551"/>
    <w:multiLevelType w:val="hybridMultilevel"/>
    <w:tmpl w:val="3614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C1900"/>
    <w:multiLevelType w:val="hybridMultilevel"/>
    <w:tmpl w:val="DF82267E"/>
    <w:lvl w:ilvl="0" w:tplc="04090001">
      <w:start w:val="1"/>
      <w:numFmt w:val="bullet"/>
      <w:lvlText w:val=""/>
      <w:lvlJc w:val="left"/>
      <w:pPr>
        <w:ind w:left="720" w:hanging="360"/>
      </w:pPr>
      <w:rPr>
        <w:rFonts w:ascii="Symbol" w:hAnsi="Symbol" w:hint="default"/>
      </w:rPr>
    </w:lvl>
    <w:lvl w:ilvl="1" w:tplc="3C0E514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328B6"/>
    <w:multiLevelType w:val="hybridMultilevel"/>
    <w:tmpl w:val="21E8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B0C77"/>
    <w:multiLevelType w:val="hybridMultilevel"/>
    <w:tmpl w:val="C86C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B52B4E"/>
    <w:multiLevelType w:val="hybridMultilevel"/>
    <w:tmpl w:val="270A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6"/>
  </w:num>
  <w:num w:numId="6">
    <w:abstractNumId w:val="4"/>
  </w:num>
  <w:num w:numId="7">
    <w:abstractNumId w:val="11"/>
  </w:num>
  <w:num w:numId="8">
    <w:abstractNumId w:val="10"/>
  </w:num>
  <w:num w:numId="9">
    <w:abstractNumId w:val="9"/>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A88"/>
    <w:rsid w:val="000273A6"/>
    <w:rsid w:val="0005590C"/>
    <w:rsid w:val="00062AA2"/>
    <w:rsid w:val="00170A88"/>
    <w:rsid w:val="0019089F"/>
    <w:rsid w:val="001E0448"/>
    <w:rsid w:val="001F5F3A"/>
    <w:rsid w:val="002B21F2"/>
    <w:rsid w:val="00347ED3"/>
    <w:rsid w:val="00380E72"/>
    <w:rsid w:val="0041567C"/>
    <w:rsid w:val="004260C1"/>
    <w:rsid w:val="004B5438"/>
    <w:rsid w:val="00542811"/>
    <w:rsid w:val="00580322"/>
    <w:rsid w:val="005B7350"/>
    <w:rsid w:val="007C2553"/>
    <w:rsid w:val="0080260D"/>
    <w:rsid w:val="0088489C"/>
    <w:rsid w:val="008C7ADB"/>
    <w:rsid w:val="00983551"/>
    <w:rsid w:val="00A16D3C"/>
    <w:rsid w:val="00A52584"/>
    <w:rsid w:val="00AC5E82"/>
    <w:rsid w:val="00AE0FD8"/>
    <w:rsid w:val="00BA36E5"/>
    <w:rsid w:val="00BD7DBC"/>
    <w:rsid w:val="00DD20CC"/>
    <w:rsid w:val="00E222FF"/>
    <w:rsid w:val="00E81B0F"/>
    <w:rsid w:val="00EA44B6"/>
    <w:rsid w:val="00F71ADD"/>
    <w:rsid w:val="00F840D3"/>
    <w:rsid w:val="00FD06BC"/>
    <w:rsid w:val="0758B819"/>
    <w:rsid w:val="1013C4F2"/>
    <w:rsid w:val="4BF60FC1"/>
    <w:rsid w:val="511C8B7C"/>
    <w:rsid w:val="5898B850"/>
    <w:rsid w:val="6565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CE573"/>
  <w15:chartTrackingRefBased/>
  <w15:docId w15:val="{4D296FA6-A8F1-4E56-A46C-EEF3A07C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A2"/>
    <w:rPr>
      <w:color w:val="767171" w:themeColor="background2" w:themeShade="80"/>
      <w:sz w:val="20"/>
    </w:rPr>
  </w:style>
  <w:style w:type="paragraph" w:styleId="Heading1">
    <w:name w:val="heading 1"/>
    <w:basedOn w:val="Normal"/>
    <w:next w:val="Normal"/>
    <w:link w:val="Heading1Char"/>
    <w:uiPriority w:val="9"/>
    <w:qFormat/>
    <w:rsid w:val="00062AA2"/>
    <w:pPr>
      <w:keepNext/>
      <w:keepLines/>
      <w:spacing w:before="360" w:after="120" w:line="240" w:lineRule="auto"/>
      <w:outlineLvl w:val="0"/>
    </w:pPr>
    <w:rPr>
      <w:rFonts w:ascii="Segoe UI" w:eastAsiaTheme="majorEastAsia" w:hAnsi="Segoe UI" w:cs="Segoe UI"/>
      <w:color w:val="005691"/>
      <w:sz w:val="36"/>
      <w:szCs w:val="36"/>
    </w:rPr>
  </w:style>
  <w:style w:type="paragraph" w:styleId="Heading2">
    <w:name w:val="heading 2"/>
    <w:basedOn w:val="Normal"/>
    <w:next w:val="Normal"/>
    <w:link w:val="Heading2Char"/>
    <w:uiPriority w:val="9"/>
    <w:unhideWhenUsed/>
    <w:qFormat/>
    <w:rsid w:val="00AC5E82"/>
    <w:pPr>
      <w:keepNext/>
      <w:keepLines/>
      <w:spacing w:before="240" w:after="0" w:line="240" w:lineRule="auto"/>
      <w:outlineLvl w:val="1"/>
    </w:pPr>
    <w:rPr>
      <w:rFonts w:ascii="Segoe UI" w:eastAsiaTheme="majorEastAsia" w:hAnsi="Segoe UI" w:cstheme="majorBidi"/>
      <w:color w:val="0065A2"/>
      <w:sz w:val="26"/>
      <w:szCs w:val="26"/>
    </w:rPr>
  </w:style>
  <w:style w:type="paragraph" w:styleId="Heading3">
    <w:name w:val="heading 3"/>
    <w:basedOn w:val="Normal"/>
    <w:next w:val="Normal"/>
    <w:link w:val="Heading3Char"/>
    <w:uiPriority w:val="9"/>
    <w:unhideWhenUsed/>
    <w:qFormat/>
    <w:rsid w:val="00A52584"/>
    <w:pPr>
      <w:keepNext/>
      <w:keepLines/>
      <w:spacing w:before="120" w:after="0" w:line="240" w:lineRule="auto"/>
      <w:outlineLvl w:val="2"/>
    </w:pPr>
    <w:rPr>
      <w:rFonts w:asciiTheme="majorHAnsi" w:eastAsiaTheme="majorEastAsia" w:hAnsiTheme="majorHAnsi" w:cstheme="majorBidi"/>
      <w:color w:val="0065A2"/>
      <w:sz w:val="24"/>
      <w:szCs w:val="24"/>
    </w:rPr>
  </w:style>
  <w:style w:type="paragraph" w:styleId="Heading4">
    <w:name w:val="heading 4"/>
    <w:basedOn w:val="Normal"/>
    <w:next w:val="Normal"/>
    <w:link w:val="Heading4Char"/>
    <w:uiPriority w:val="9"/>
    <w:unhideWhenUsed/>
    <w:qFormat/>
    <w:rsid w:val="00A5258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A88"/>
  </w:style>
  <w:style w:type="paragraph" w:styleId="Footer">
    <w:name w:val="footer"/>
    <w:basedOn w:val="Normal"/>
    <w:link w:val="FooterChar"/>
    <w:uiPriority w:val="99"/>
    <w:unhideWhenUsed/>
    <w:rsid w:val="00170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A88"/>
  </w:style>
  <w:style w:type="paragraph" w:styleId="Title">
    <w:name w:val="Title"/>
    <w:basedOn w:val="Normal"/>
    <w:next w:val="Normal"/>
    <w:link w:val="TitleChar"/>
    <w:uiPriority w:val="10"/>
    <w:qFormat/>
    <w:rsid w:val="00EA44B6"/>
    <w:pPr>
      <w:spacing w:after="0" w:line="240" w:lineRule="auto"/>
      <w:contextualSpacing/>
      <w:jc w:val="center"/>
    </w:pPr>
    <w:rPr>
      <w:rFonts w:ascii="Segoe UI" w:eastAsiaTheme="majorEastAsia" w:hAnsi="Segoe UI" w:cs="Segoe UI"/>
      <w:noProof/>
      <w:color w:val="FFFFFF" w:themeColor="background1"/>
      <w:spacing w:val="-10"/>
      <w:kern w:val="28"/>
      <w:sz w:val="40"/>
      <w:szCs w:val="40"/>
    </w:rPr>
  </w:style>
  <w:style w:type="character" w:customStyle="1" w:styleId="TitleChar">
    <w:name w:val="Title Char"/>
    <w:basedOn w:val="DefaultParagraphFont"/>
    <w:link w:val="Title"/>
    <w:uiPriority w:val="10"/>
    <w:rsid w:val="00EA44B6"/>
    <w:rPr>
      <w:rFonts w:ascii="Segoe UI" w:eastAsiaTheme="majorEastAsia" w:hAnsi="Segoe UI" w:cs="Segoe UI"/>
      <w:noProof/>
      <w:color w:val="FFFFFF" w:themeColor="background1"/>
      <w:spacing w:val="-10"/>
      <w:kern w:val="28"/>
      <w:sz w:val="40"/>
      <w:szCs w:val="40"/>
    </w:rPr>
  </w:style>
  <w:style w:type="paragraph" w:styleId="Subtitle">
    <w:name w:val="Subtitle"/>
    <w:basedOn w:val="Normal"/>
    <w:next w:val="Normal"/>
    <w:link w:val="SubtitleChar"/>
    <w:uiPriority w:val="11"/>
    <w:qFormat/>
    <w:rsid w:val="001F5F3A"/>
    <w:pPr>
      <w:numPr>
        <w:ilvl w:val="1"/>
      </w:numPr>
      <w:jc w:val="center"/>
    </w:pPr>
    <w:rPr>
      <w:rFonts w:ascii="Segoe UI" w:eastAsiaTheme="minorEastAsia" w:hAnsi="Segoe UI" w:cs="Segoe UI"/>
      <w:color w:val="FFFFFF" w:themeColor="background1"/>
      <w:spacing w:val="15"/>
      <w:sz w:val="28"/>
      <w:szCs w:val="28"/>
    </w:rPr>
  </w:style>
  <w:style w:type="character" w:customStyle="1" w:styleId="SubtitleChar">
    <w:name w:val="Subtitle Char"/>
    <w:basedOn w:val="DefaultParagraphFont"/>
    <w:link w:val="Subtitle"/>
    <w:uiPriority w:val="11"/>
    <w:rsid w:val="001F5F3A"/>
    <w:rPr>
      <w:rFonts w:ascii="Segoe UI" w:eastAsiaTheme="minorEastAsia" w:hAnsi="Segoe UI" w:cs="Segoe UI"/>
      <w:color w:val="FFFFFF" w:themeColor="background1"/>
      <w:spacing w:val="15"/>
      <w:sz w:val="28"/>
      <w:szCs w:val="28"/>
    </w:rPr>
  </w:style>
  <w:style w:type="character" w:styleId="SubtleEmphasis">
    <w:name w:val="Subtle Emphasis"/>
    <w:basedOn w:val="DefaultParagraphFont"/>
    <w:uiPriority w:val="19"/>
    <w:qFormat/>
    <w:rsid w:val="001F5F3A"/>
    <w:rPr>
      <w:i/>
      <w:iCs/>
      <w:color w:val="404040" w:themeColor="text1" w:themeTint="BF"/>
    </w:rPr>
  </w:style>
  <w:style w:type="paragraph" w:customStyle="1" w:styleId="SubtitleHeader">
    <w:name w:val="Subtitle (Header)"/>
    <w:basedOn w:val="Normal"/>
    <w:uiPriority w:val="99"/>
    <w:rsid w:val="001F5F3A"/>
    <w:pPr>
      <w:suppressAutoHyphens/>
      <w:autoSpaceDE w:val="0"/>
      <w:autoSpaceDN w:val="0"/>
      <w:adjustRightInd w:val="0"/>
      <w:spacing w:before="120" w:after="0" w:line="220" w:lineRule="atLeast"/>
      <w:textAlignment w:val="center"/>
    </w:pPr>
    <w:rPr>
      <w:rFonts w:ascii="Adelle Sans" w:hAnsi="Adelle Sans" w:cs="Adelle Sans"/>
      <w:i/>
      <w:iCs/>
      <w:color w:val="FFFFFF"/>
    </w:rPr>
  </w:style>
  <w:style w:type="table" w:styleId="TableGrid">
    <w:name w:val="Table Grid"/>
    <w:basedOn w:val="TableNormal"/>
    <w:uiPriority w:val="39"/>
    <w:rsid w:val="00EA4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2AA2"/>
    <w:rPr>
      <w:rFonts w:ascii="Segoe UI" w:eastAsiaTheme="majorEastAsia" w:hAnsi="Segoe UI" w:cs="Segoe UI"/>
      <w:color w:val="005691"/>
      <w:sz w:val="36"/>
      <w:szCs w:val="36"/>
    </w:rPr>
  </w:style>
  <w:style w:type="paragraph" w:customStyle="1" w:styleId="Subhead2NoSpanNoSpanSubheads">
    <w:name w:val="Subhead 2 No Span (No Span:Subheads)"/>
    <w:basedOn w:val="Normal"/>
    <w:uiPriority w:val="99"/>
    <w:rsid w:val="001E0448"/>
    <w:pPr>
      <w:suppressAutoHyphens/>
      <w:autoSpaceDE w:val="0"/>
      <w:autoSpaceDN w:val="0"/>
      <w:adjustRightInd w:val="0"/>
      <w:spacing w:before="360" w:after="0" w:line="220" w:lineRule="atLeast"/>
      <w:textAlignment w:val="center"/>
    </w:pPr>
    <w:rPr>
      <w:rFonts w:ascii="Avenir LT Std 55 Roman" w:hAnsi="Avenir LT Std 55 Roman" w:cs="Avenir LT Std 55 Roman"/>
      <w:color w:val="001C9B"/>
      <w:sz w:val="30"/>
      <w:szCs w:val="30"/>
    </w:rPr>
  </w:style>
  <w:style w:type="paragraph" w:customStyle="1" w:styleId="Subhead3NoSpanNoSpanSubheads">
    <w:name w:val="Subhead 3 No Span (No Span:Subheads)"/>
    <w:basedOn w:val="Normal"/>
    <w:uiPriority w:val="99"/>
    <w:rsid w:val="001E0448"/>
    <w:pPr>
      <w:suppressAutoHyphens/>
      <w:autoSpaceDE w:val="0"/>
      <w:autoSpaceDN w:val="0"/>
      <w:adjustRightInd w:val="0"/>
      <w:spacing w:before="240" w:after="100" w:line="240" w:lineRule="atLeast"/>
      <w:textAlignment w:val="center"/>
    </w:pPr>
    <w:rPr>
      <w:rFonts w:ascii="Adelle Sans" w:hAnsi="Adelle Sans" w:cs="Adelle Sans"/>
      <w:color w:val="005EC9"/>
      <w:sz w:val="24"/>
      <w:szCs w:val="24"/>
    </w:rPr>
  </w:style>
  <w:style w:type="paragraph" w:customStyle="1" w:styleId="BodyTextColumnsNoSpan">
    <w:name w:val="Body Text Columns (No Span)"/>
    <w:basedOn w:val="Normal"/>
    <w:uiPriority w:val="99"/>
    <w:rsid w:val="001E0448"/>
    <w:pPr>
      <w:suppressAutoHyphens/>
      <w:autoSpaceDE w:val="0"/>
      <w:autoSpaceDN w:val="0"/>
      <w:adjustRightInd w:val="0"/>
      <w:spacing w:before="60" w:after="0" w:line="240" w:lineRule="atLeast"/>
      <w:textAlignment w:val="center"/>
    </w:pPr>
    <w:rPr>
      <w:rFonts w:ascii="Adelle Sans" w:hAnsi="Adelle Sans" w:cs="Adelle Sans"/>
      <w:color w:val="000000"/>
      <w:szCs w:val="20"/>
    </w:rPr>
  </w:style>
  <w:style w:type="character" w:customStyle="1" w:styleId="Heading2Char">
    <w:name w:val="Heading 2 Char"/>
    <w:basedOn w:val="DefaultParagraphFont"/>
    <w:link w:val="Heading2"/>
    <w:uiPriority w:val="9"/>
    <w:rsid w:val="00AC5E82"/>
    <w:rPr>
      <w:rFonts w:ascii="Segoe UI" w:eastAsiaTheme="majorEastAsia" w:hAnsi="Segoe UI" w:cstheme="majorBidi"/>
      <w:color w:val="0065A2"/>
      <w:sz w:val="26"/>
      <w:szCs w:val="26"/>
    </w:rPr>
  </w:style>
  <w:style w:type="character" w:customStyle="1" w:styleId="Heading3Char">
    <w:name w:val="Heading 3 Char"/>
    <w:basedOn w:val="DefaultParagraphFont"/>
    <w:link w:val="Heading3"/>
    <w:uiPriority w:val="9"/>
    <w:rsid w:val="00A52584"/>
    <w:rPr>
      <w:rFonts w:asciiTheme="majorHAnsi" w:eastAsiaTheme="majorEastAsia" w:hAnsiTheme="majorHAnsi" w:cstheme="majorBidi"/>
      <w:color w:val="0065A2"/>
      <w:sz w:val="24"/>
      <w:szCs w:val="24"/>
    </w:rPr>
  </w:style>
  <w:style w:type="paragraph" w:customStyle="1" w:styleId="Default">
    <w:name w:val="Default"/>
    <w:rsid w:val="00A52584"/>
    <w:pPr>
      <w:autoSpaceDE w:val="0"/>
      <w:autoSpaceDN w:val="0"/>
      <w:adjustRightInd w:val="0"/>
      <w:spacing w:after="0" w:line="240" w:lineRule="auto"/>
    </w:pPr>
    <w:rPr>
      <w:rFonts w:ascii="Avenir LT Std 55 Roman" w:hAnsi="Avenir LT Std 55 Roman" w:cs="Avenir LT Std 55 Roman"/>
      <w:color w:val="000000"/>
      <w:sz w:val="24"/>
      <w:szCs w:val="24"/>
    </w:rPr>
  </w:style>
  <w:style w:type="character" w:customStyle="1" w:styleId="A1">
    <w:name w:val="A1"/>
    <w:uiPriority w:val="99"/>
    <w:rsid w:val="00A52584"/>
    <w:rPr>
      <w:rFonts w:cs="Avenir LT Std 55 Roman"/>
      <w:color w:val="2A679A"/>
      <w:sz w:val="30"/>
      <w:szCs w:val="30"/>
    </w:rPr>
  </w:style>
  <w:style w:type="character" w:customStyle="1" w:styleId="Heading4Char">
    <w:name w:val="Heading 4 Char"/>
    <w:basedOn w:val="DefaultParagraphFont"/>
    <w:link w:val="Heading4"/>
    <w:uiPriority w:val="9"/>
    <w:rsid w:val="00A52584"/>
    <w:rPr>
      <w:rFonts w:asciiTheme="majorHAnsi" w:eastAsiaTheme="majorEastAsia" w:hAnsiTheme="majorHAnsi" w:cstheme="majorBidi"/>
      <w:i/>
      <w:iCs/>
      <w:color w:val="2E74B5" w:themeColor="accent1" w:themeShade="BF"/>
    </w:rPr>
  </w:style>
  <w:style w:type="paragraph" w:customStyle="1" w:styleId="Pa3">
    <w:name w:val="Pa3"/>
    <w:basedOn w:val="Default"/>
    <w:next w:val="Default"/>
    <w:uiPriority w:val="99"/>
    <w:rsid w:val="00A52584"/>
    <w:pPr>
      <w:spacing w:line="201" w:lineRule="atLeast"/>
    </w:pPr>
    <w:rPr>
      <w:rFonts w:ascii="Adelle Sans" w:hAnsi="Adelle Sans" w:cstheme="minorBidi"/>
      <w:color w:val="auto"/>
    </w:rPr>
  </w:style>
  <w:style w:type="paragraph" w:customStyle="1" w:styleId="Pa1">
    <w:name w:val="Pa1"/>
    <w:basedOn w:val="Default"/>
    <w:next w:val="Default"/>
    <w:uiPriority w:val="99"/>
    <w:rsid w:val="00A52584"/>
    <w:pPr>
      <w:spacing w:line="301" w:lineRule="atLeast"/>
    </w:pPr>
    <w:rPr>
      <w:rFonts w:cstheme="minorBidi"/>
      <w:color w:val="auto"/>
    </w:rPr>
  </w:style>
  <w:style w:type="character" w:customStyle="1" w:styleId="fontstyle01">
    <w:name w:val="fontstyle01"/>
    <w:basedOn w:val="DefaultParagraphFont"/>
    <w:rsid w:val="00983551"/>
    <w:rPr>
      <w:rFonts w:ascii="CenturyGothic" w:hAnsi="CenturyGothic" w:hint="default"/>
      <w:b w:val="0"/>
      <w:bCs w:val="0"/>
      <w:i w:val="0"/>
      <w:iCs w:val="0"/>
      <w:color w:val="000000"/>
      <w:sz w:val="36"/>
      <w:szCs w:val="36"/>
    </w:rPr>
  </w:style>
  <w:style w:type="character" w:customStyle="1" w:styleId="fontstyle21">
    <w:name w:val="fontstyle21"/>
    <w:basedOn w:val="DefaultParagraphFont"/>
    <w:rsid w:val="00983551"/>
    <w:rPr>
      <w:rFonts w:ascii="CenturyGothic-Bold" w:hAnsi="CenturyGothic-Bold" w:hint="default"/>
      <w:b/>
      <w:bCs/>
      <w:i w:val="0"/>
      <w:iCs w:val="0"/>
      <w:color w:val="000000"/>
      <w:sz w:val="36"/>
      <w:szCs w:val="36"/>
    </w:rPr>
  </w:style>
  <w:style w:type="character" w:customStyle="1" w:styleId="fontstyle41">
    <w:name w:val="fontstyle41"/>
    <w:basedOn w:val="DefaultParagraphFont"/>
    <w:rsid w:val="00983551"/>
    <w:rPr>
      <w:rFonts w:ascii="SegoeUISymbol" w:hAnsi="SegoeUISymbol" w:hint="default"/>
      <w:b w:val="0"/>
      <w:bCs w:val="0"/>
      <w:i w:val="0"/>
      <w:iCs w:val="0"/>
      <w:color w:val="000000"/>
      <w:sz w:val="22"/>
      <w:szCs w:val="22"/>
    </w:rPr>
  </w:style>
  <w:style w:type="paragraph" w:styleId="ListParagraph">
    <w:name w:val="List Paragraph"/>
    <w:basedOn w:val="Normal"/>
    <w:uiPriority w:val="34"/>
    <w:qFormat/>
    <w:rsid w:val="00983551"/>
    <w:pPr>
      <w:ind w:left="720"/>
      <w:contextualSpacing/>
    </w:pPr>
    <w:rPr>
      <w:color w:val="auto"/>
      <w:sz w:val="22"/>
    </w:rPr>
  </w:style>
  <w:style w:type="character" w:customStyle="1" w:styleId="normaltextrun">
    <w:name w:val="normaltextrun"/>
    <w:basedOn w:val="DefaultParagraphFont"/>
    <w:rsid w:val="0019089F"/>
  </w:style>
  <w:style w:type="character" w:customStyle="1" w:styleId="eop">
    <w:name w:val="eop"/>
    <w:basedOn w:val="DefaultParagraphFont"/>
    <w:rsid w:val="0019089F"/>
  </w:style>
  <w:style w:type="character" w:styleId="Hyperlink">
    <w:name w:val="Hyperlink"/>
    <w:basedOn w:val="DefaultParagraphFont"/>
    <w:uiPriority w:val="99"/>
    <w:unhideWhenUsed/>
    <w:rsid w:val="00190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22477">
      <w:bodyDiv w:val="1"/>
      <w:marLeft w:val="0"/>
      <w:marRight w:val="0"/>
      <w:marTop w:val="0"/>
      <w:marBottom w:val="0"/>
      <w:divBdr>
        <w:top w:val="none" w:sz="0" w:space="0" w:color="auto"/>
        <w:left w:val="none" w:sz="0" w:space="0" w:color="auto"/>
        <w:bottom w:val="none" w:sz="0" w:space="0" w:color="auto"/>
        <w:right w:val="none" w:sz="0" w:space="0" w:color="auto"/>
      </w:divBdr>
      <w:divsChild>
        <w:div w:id="1987270763">
          <w:marLeft w:val="0"/>
          <w:marRight w:val="0"/>
          <w:marTop w:val="0"/>
          <w:marBottom w:val="0"/>
          <w:divBdr>
            <w:top w:val="none" w:sz="0" w:space="0" w:color="auto"/>
            <w:left w:val="none" w:sz="0" w:space="0" w:color="auto"/>
            <w:bottom w:val="none" w:sz="0" w:space="0" w:color="auto"/>
            <w:right w:val="none" w:sz="0" w:space="0" w:color="auto"/>
          </w:divBdr>
        </w:div>
        <w:div w:id="308094979">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sChild>
    </w:div>
    <w:div w:id="1356081799">
      <w:bodyDiv w:val="1"/>
      <w:marLeft w:val="0"/>
      <w:marRight w:val="0"/>
      <w:marTop w:val="0"/>
      <w:marBottom w:val="0"/>
      <w:divBdr>
        <w:top w:val="none" w:sz="0" w:space="0" w:color="auto"/>
        <w:left w:val="none" w:sz="0" w:space="0" w:color="auto"/>
        <w:bottom w:val="none" w:sz="0" w:space="0" w:color="auto"/>
        <w:right w:val="none" w:sz="0" w:space="0" w:color="auto"/>
      </w:divBdr>
      <w:divsChild>
        <w:div w:id="1376543779">
          <w:marLeft w:val="0"/>
          <w:marRight w:val="0"/>
          <w:marTop w:val="0"/>
          <w:marBottom w:val="0"/>
          <w:divBdr>
            <w:top w:val="none" w:sz="0" w:space="0" w:color="auto"/>
            <w:left w:val="none" w:sz="0" w:space="0" w:color="auto"/>
            <w:bottom w:val="none" w:sz="0" w:space="0" w:color="auto"/>
            <w:right w:val="none" w:sz="0" w:space="0" w:color="auto"/>
          </w:divBdr>
        </w:div>
        <w:div w:id="988094385">
          <w:marLeft w:val="0"/>
          <w:marRight w:val="0"/>
          <w:marTop w:val="0"/>
          <w:marBottom w:val="0"/>
          <w:divBdr>
            <w:top w:val="none" w:sz="0" w:space="0" w:color="auto"/>
            <w:left w:val="none" w:sz="0" w:space="0" w:color="auto"/>
            <w:bottom w:val="none" w:sz="0" w:space="0" w:color="auto"/>
            <w:right w:val="none" w:sz="0" w:space="0" w:color="auto"/>
          </w:divBdr>
        </w:div>
        <w:div w:id="1546916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dosh/documents/monkeypox-guidanc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poxvirus/monkeypox/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ages/localhealthservicesandoffi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B94F41E1617D47A5F853A01EBDF90A" ma:contentTypeVersion="15" ma:contentTypeDescription="Create a new document." ma:contentTypeScope="" ma:versionID="9f119b80fc7a10bb1710590b4a95b55e">
  <xsd:schema xmlns:xsd="http://www.w3.org/2001/XMLSchema" xmlns:xs="http://www.w3.org/2001/XMLSchema" xmlns:p="http://schemas.microsoft.com/office/2006/metadata/properties" xmlns:ns2="5a1b4a77-7535-4081-ac09-92576c9e142e" xmlns:ns3="f2f0666c-536f-4d54-899e-227c16dda855" targetNamespace="http://schemas.microsoft.com/office/2006/metadata/properties" ma:root="true" ma:fieldsID="672ac4bf893447c3ef9a761ed187cd46" ns2:_="" ns3:_="">
    <xsd:import namespace="5a1b4a77-7535-4081-ac09-92576c9e142e"/>
    <xsd:import namespace="f2f0666c-536f-4d54-899e-227c16dda8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b4a77-7535-4081-ac09-92576c9e1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eb6c560-4d25-4638-9702-c276858e88a9"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f0666c-536f-4d54-899e-227c16dda8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3f87289-4c49-4f53-8fb4-a22d5ce7ec13}" ma:internalName="TaxCatchAll" ma:showField="CatchAllData" ma:web="f2f0666c-536f-4d54-899e-227c16dda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2f0666c-536f-4d54-899e-227c16dda855">
      <UserInfo>
        <DisplayName>Katie Behrendt</DisplayName>
        <AccountId>953</AccountId>
        <AccountType/>
      </UserInfo>
    </SharedWithUsers>
    <lcf76f155ced4ddcb4097134ff3c332f xmlns="5a1b4a77-7535-4081-ac09-92576c9e142e">
      <Terms xmlns="http://schemas.microsoft.com/office/infopath/2007/PartnerControls"/>
    </lcf76f155ced4ddcb4097134ff3c332f>
    <TaxCatchAll xmlns="f2f0666c-536f-4d54-899e-227c16dda855" xsi:nil="true"/>
  </documentManagement>
</p:properties>
</file>

<file path=customXml/itemProps1.xml><?xml version="1.0" encoding="utf-8"?>
<ds:datastoreItem xmlns:ds="http://schemas.openxmlformats.org/officeDocument/2006/customXml" ds:itemID="{205A92F0-0F89-440C-BA05-DC27A7C7C9D7}">
  <ds:schemaRefs>
    <ds:schemaRef ds:uri="http://schemas.microsoft.com/sharepoint/v3/contenttype/forms"/>
  </ds:schemaRefs>
</ds:datastoreItem>
</file>

<file path=customXml/itemProps2.xml><?xml version="1.0" encoding="utf-8"?>
<ds:datastoreItem xmlns:ds="http://schemas.openxmlformats.org/officeDocument/2006/customXml" ds:itemID="{6861F71A-478B-495A-91CD-8A470B6E3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b4a77-7535-4081-ac09-92576c9e142e"/>
    <ds:schemaRef ds:uri="f2f0666c-536f-4d54-899e-227c16dda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4A03A-D3E6-4195-AF2A-4FC437C8DFE5}">
  <ds:schemaRefs>
    <ds:schemaRef ds:uri="http://schemas.openxmlformats.org/officeDocument/2006/bibliography"/>
  </ds:schemaRefs>
</ds:datastoreItem>
</file>

<file path=customXml/itemProps4.xml><?xml version="1.0" encoding="utf-8"?>
<ds:datastoreItem xmlns:ds="http://schemas.openxmlformats.org/officeDocument/2006/customXml" ds:itemID="{6AEA7033-EB20-428A-A8E1-EEA7A68BBCB0}">
  <ds:schemaRefs>
    <ds:schemaRef ds:uri="http://schemas.microsoft.com/office/2006/metadata/properties"/>
    <ds:schemaRef ds:uri="http://schemas.microsoft.com/office/infopath/2007/PartnerControls"/>
    <ds:schemaRef ds:uri="f2f0666c-536f-4d54-899e-227c16dda855"/>
    <ds:schemaRef ds:uri="5a1b4a77-7535-4081-ac09-92576c9e142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853</Words>
  <Characters>4866</Characters>
  <Application>Microsoft Office Word</Application>
  <DocSecurity>0</DocSecurity>
  <Lines>40</Lines>
  <Paragraphs>11</Paragraphs>
  <ScaleCrop>false</ScaleCrop>
  <Company>BHHC</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Estonina</dc:creator>
  <cp:keywords/>
  <dc:description/>
  <cp:lastModifiedBy>Lexi Ortega</cp:lastModifiedBy>
  <cp:revision>7</cp:revision>
  <dcterms:created xsi:type="dcterms:W3CDTF">2022-09-28T20:10:00Z</dcterms:created>
  <dcterms:modified xsi:type="dcterms:W3CDTF">2022-09-28T20:53:00Z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0x01010087B94F41E1617D47A5F853A01EBDF90A</vt:lpwstr>
  </property>
  <property fmtid="{D5CDD505-2E9C-101B-9397-08002B2CF9AE}" pid="3" name="MediaServiceImageTags">
    <vt:lpwstr/>
  </property>
</Properties>
</file>